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"МР 2.6.1.0257-21. 2.6.1. Ионизирующее излучение, радиационная безопасность. Проведение радиационно-гигиенической паспортизации. Методические рекомендации"</w:t>
              <w:br/>
              <w:t xml:space="preserve">(утв. Главным государственным санитарным врачом РФ 01.09.2021)</w:t>
              <w:br/>
              <w:t xml:space="preserve">(вместе с "Инструкцией по заполнению радиационно-гигиенических паспортов организаций", "Инструкцией по заполнению радиационно-гигиенического паспорта территории")</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20.07.2026</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4"/>
        </w:rPr>
      </w:r>
    </w:p>
    <w:p>
      <w:pPr>
        <w:pStyle w:val="2"/>
        <w:outlineLvl w:val="0"/>
        <w:jc w:val="center"/>
      </w:pPr>
      <w:r>
        <w:rPr>
          <w:sz w:val="24"/>
        </w:rPr>
        <w:t xml:space="preserve">ГОСУДАРСТВЕННОЕ САНИТАРНО-ЭПИДЕМИОЛОГИЧЕСКОЕ НОРМИРОВАНИЕ</w:t>
      </w:r>
    </w:p>
    <w:p>
      <w:pPr>
        <w:pStyle w:val="2"/>
        <w:jc w:val="center"/>
      </w:pPr>
      <w:r>
        <w:rPr>
          <w:sz w:val="24"/>
        </w:rPr>
        <w:t xml:space="preserve">РОССИЙСКОЙ ФЕДЕРАЦИИ</w:t>
      </w:r>
    </w:p>
    <w:p>
      <w:pPr>
        <w:pStyle w:val="0"/>
        <w:jc w:val="both"/>
      </w:pPr>
      <w:r>
        <w:rPr>
          <w:sz w:val="24"/>
        </w:rPr>
      </w:r>
    </w:p>
    <w:p>
      <w:pPr>
        <w:pStyle w:val="0"/>
        <w:jc w:val="right"/>
      </w:pPr>
      <w:r>
        <w:rPr>
          <w:sz w:val="24"/>
        </w:rPr>
        <w:t xml:space="preserve">Утверждаю</w:t>
      </w:r>
    </w:p>
    <w:p>
      <w:pPr>
        <w:pStyle w:val="0"/>
        <w:jc w:val="right"/>
      </w:pPr>
      <w:r>
        <w:rPr>
          <w:sz w:val="24"/>
        </w:rPr>
        <w:t xml:space="preserve">Руководитель Федеральной службы</w:t>
      </w:r>
    </w:p>
    <w:p>
      <w:pPr>
        <w:pStyle w:val="0"/>
        <w:jc w:val="right"/>
      </w:pPr>
      <w:r>
        <w:rPr>
          <w:sz w:val="24"/>
        </w:rPr>
        <w:t xml:space="preserve">по надзору в сфере защиты прав</w:t>
      </w:r>
    </w:p>
    <w:p>
      <w:pPr>
        <w:pStyle w:val="0"/>
        <w:jc w:val="right"/>
      </w:pPr>
      <w:r>
        <w:rPr>
          <w:sz w:val="24"/>
        </w:rPr>
        <w:t xml:space="preserve">потребителей и благополучия человека</w:t>
      </w:r>
    </w:p>
    <w:p>
      <w:pPr>
        <w:pStyle w:val="0"/>
        <w:jc w:val="right"/>
      </w:pPr>
      <w:r>
        <w:rPr>
          <w:sz w:val="24"/>
        </w:rPr>
        <w:t xml:space="preserve">Главный государственный санитарный</w:t>
      </w:r>
    </w:p>
    <w:p>
      <w:pPr>
        <w:pStyle w:val="0"/>
        <w:jc w:val="right"/>
      </w:pPr>
      <w:r>
        <w:rPr>
          <w:sz w:val="24"/>
        </w:rPr>
        <w:t xml:space="preserve">врач Российской Федерации</w:t>
      </w:r>
    </w:p>
    <w:p>
      <w:pPr>
        <w:pStyle w:val="0"/>
        <w:jc w:val="right"/>
      </w:pPr>
      <w:r>
        <w:rPr>
          <w:sz w:val="24"/>
        </w:rPr>
        <w:t xml:space="preserve">А.Ю.ПОПОВА</w:t>
      </w:r>
    </w:p>
    <w:p>
      <w:pPr>
        <w:pStyle w:val="0"/>
        <w:jc w:val="right"/>
      </w:pPr>
      <w:r>
        <w:rPr>
          <w:sz w:val="24"/>
        </w:rPr>
        <w:t xml:space="preserve">1 сентября 2021 г.</w:t>
      </w:r>
    </w:p>
    <w:p>
      <w:pPr>
        <w:pStyle w:val="0"/>
        <w:jc w:val="both"/>
      </w:pPr>
      <w:r>
        <w:rPr>
          <w:sz w:val="24"/>
        </w:rPr>
      </w:r>
    </w:p>
    <w:p>
      <w:pPr>
        <w:pStyle w:val="2"/>
        <w:jc w:val="center"/>
      </w:pPr>
      <w:r>
        <w:rPr>
          <w:sz w:val="24"/>
        </w:rPr>
        <w:t xml:space="preserve">2.6.1. ИОНИЗИРУЮЩЕЕ ИЗЛУЧЕНИЕ, РАДИАЦИОННАЯ БЕЗОПАСНОСТЬ</w:t>
      </w:r>
    </w:p>
    <w:p>
      <w:pPr>
        <w:pStyle w:val="2"/>
        <w:jc w:val="center"/>
      </w:pPr>
      <w:r>
        <w:rPr>
          <w:sz w:val="24"/>
        </w:rPr>
      </w:r>
    </w:p>
    <w:p>
      <w:pPr>
        <w:pStyle w:val="2"/>
        <w:jc w:val="center"/>
      </w:pPr>
      <w:r>
        <w:rPr>
          <w:sz w:val="24"/>
        </w:rPr>
        <w:t xml:space="preserve">ПРОВЕДЕНИЕ РАДИАЦИОННО-ГИГИЕНИЧЕСКОЙ ПАСПОРТИЗАЦИИ</w:t>
      </w:r>
    </w:p>
    <w:p>
      <w:pPr>
        <w:pStyle w:val="2"/>
        <w:jc w:val="center"/>
      </w:pPr>
      <w:r>
        <w:rPr>
          <w:sz w:val="24"/>
        </w:rPr>
      </w:r>
    </w:p>
    <w:p>
      <w:pPr>
        <w:pStyle w:val="2"/>
        <w:jc w:val="center"/>
      </w:pPr>
      <w:r>
        <w:rPr>
          <w:sz w:val="24"/>
        </w:rPr>
        <w:t xml:space="preserve">МЕТОДИЧЕСКИЕ РЕКОМЕНДАЦИИ</w:t>
      </w:r>
    </w:p>
    <w:p>
      <w:pPr>
        <w:pStyle w:val="2"/>
        <w:jc w:val="center"/>
      </w:pPr>
      <w:r>
        <w:rPr>
          <w:sz w:val="24"/>
        </w:rPr>
        <w:t xml:space="preserve">МР 2.6.1.0257-21</w:t>
      </w:r>
    </w:p>
    <w:p>
      <w:pPr>
        <w:pStyle w:val="0"/>
        <w:jc w:val="both"/>
      </w:pPr>
      <w:r>
        <w:rPr>
          <w:sz w:val="24"/>
        </w:rPr>
      </w:r>
    </w:p>
    <w:p>
      <w:pPr>
        <w:pStyle w:val="0"/>
        <w:ind w:firstLine="540"/>
        <w:jc w:val="both"/>
      </w:pPr>
      <w:r>
        <w:rPr>
          <w:sz w:val="24"/>
        </w:rPr>
        <w:t xml:space="preserve">1. Разработаны ФБУН "Санкт-Петербургский научно-исследовательский институт радиационной гигиены имени профессора П.В. Рамзаева" Роспотребнадзора (А.Н. Барковский, Н.К. Барышков, А.А. Братилова, Т.А. Кормановская, Л.А. Чипига), ФБУЗ "Федеральный центр гигиены и эпидемиологии" Роспотребнадзора (Тутельян О.Е.).</w:t>
      </w:r>
    </w:p>
    <w:p>
      <w:pPr>
        <w:pStyle w:val="0"/>
        <w:spacing w:before="240" w:lineRule="auto"/>
        <w:ind w:firstLine="540"/>
        <w:jc w:val="both"/>
      </w:pPr>
      <w:r>
        <w:rPr>
          <w:sz w:val="24"/>
        </w:rPr>
        <w:t xml:space="preserve">2. Утверждены руководителем Федеральной службы по надзору в сфере защиты прав потребителей и благополучия человека, Главным государственным санитарным врачом Российской Федерации А.Ю. Поповой 1 сентября 2021 г.</w:t>
      </w:r>
    </w:p>
    <w:p>
      <w:pPr>
        <w:pStyle w:val="0"/>
        <w:spacing w:before="240" w:lineRule="auto"/>
        <w:ind w:firstLine="540"/>
        <w:jc w:val="both"/>
      </w:pPr>
      <w:r>
        <w:rPr>
          <w:sz w:val="24"/>
        </w:rPr>
        <w:t xml:space="preserve">3. МР 2.6.1.0257-21 введены взамен методических </w:t>
      </w:r>
      <w:hyperlink w:history="0" r:id="rId8" w:tooltip="&quot;Порядок заполнения и ведения радиационно-гигиенических паспортов организаций и территорий&quot; (утв. Минздравом РФ 30.12.1997 N МУ-177-112) ------------ Утратил силу или отменен {КонсультантПлюс}">
        <w:r>
          <w:rPr>
            <w:sz w:val="24"/>
            <w:color w:val="0000ff"/>
          </w:rPr>
          <w:t xml:space="preserve">указаний</w:t>
        </w:r>
      </w:hyperlink>
      <w:r>
        <w:rPr>
          <w:sz w:val="24"/>
        </w:rPr>
        <w:t xml:space="preserve"> "Порядок заполнения и ведения радиационно-гигиенических паспортов организаций и территорий", утвержденных заместителем Главного государственного санитарного врача Российской Федерации 30.12.1997 N МУ-177-112.</w:t>
      </w:r>
    </w:p>
    <w:p>
      <w:pPr>
        <w:pStyle w:val="0"/>
        <w:jc w:val="both"/>
      </w:pPr>
      <w:r>
        <w:rPr>
          <w:sz w:val="24"/>
        </w:rPr>
      </w:r>
    </w:p>
    <w:p>
      <w:pPr>
        <w:pStyle w:val="2"/>
        <w:outlineLvl w:val="1"/>
        <w:jc w:val="center"/>
      </w:pPr>
      <w:r>
        <w:rPr>
          <w:sz w:val="24"/>
        </w:rPr>
        <w:t xml:space="preserve">I. ОБЛАСТЬ ПРИМЕНЕНИЯ</w:t>
      </w:r>
    </w:p>
    <w:p>
      <w:pPr>
        <w:pStyle w:val="0"/>
        <w:jc w:val="both"/>
      </w:pPr>
      <w:r>
        <w:rPr>
          <w:sz w:val="24"/>
        </w:rPr>
      </w:r>
    </w:p>
    <w:p>
      <w:pPr>
        <w:pStyle w:val="0"/>
        <w:ind w:firstLine="540"/>
        <w:jc w:val="both"/>
      </w:pPr>
      <w:r>
        <w:rPr>
          <w:sz w:val="24"/>
        </w:rPr>
        <w:t xml:space="preserve">1.1. Настоящие методические рекомендации (далее - МР), определяют порядок заполнения радиационно-гигиенических паспортов юридических лиц и индивидуальных предпринимателей (далее - организаций), осуществляющих обращение с техногенными источниками ионизирующего излучения (далее - ИИИ) и содержащими их изделиями (далее - РГПО) и радиационно-гигиенических паспортов территорий субъектов Российской Федерации (далее - РГПТ).</w:t>
      </w:r>
    </w:p>
    <w:p>
      <w:pPr>
        <w:pStyle w:val="0"/>
        <w:spacing w:before="240" w:lineRule="auto"/>
        <w:ind w:firstLine="540"/>
        <w:jc w:val="both"/>
      </w:pPr>
      <w:r>
        <w:rPr>
          <w:sz w:val="24"/>
        </w:rPr>
        <w:t xml:space="preserve">1.2. МР предназначены для органов и организаций Федеральной службы по надзору в сфере защиты прав потребителей и благополучия человека, а также могут быть использованы администрациями субъектов Российской Федерации и организациями, которые осуществляют обращение с ИИИ и содержащими их изделиями для получения достоверной информации о состоянии радиационной безопасности, необходимой и достаточной для ее объективной оценки, планирования и проведения, обоснованных мероприятий по ее улучшению.</w:t>
      </w:r>
    </w:p>
    <w:p>
      <w:pPr>
        <w:pStyle w:val="0"/>
        <w:jc w:val="both"/>
      </w:pPr>
      <w:r>
        <w:rPr>
          <w:sz w:val="24"/>
        </w:rPr>
      </w:r>
    </w:p>
    <w:p>
      <w:pPr>
        <w:pStyle w:val="2"/>
        <w:outlineLvl w:val="1"/>
        <w:jc w:val="center"/>
      </w:pPr>
      <w:r>
        <w:rPr>
          <w:sz w:val="24"/>
        </w:rPr>
        <w:t xml:space="preserve">II. ОБЩИЕ ПОЛОЖЕНИЯ</w:t>
      </w:r>
    </w:p>
    <w:p>
      <w:pPr>
        <w:pStyle w:val="0"/>
        <w:jc w:val="both"/>
      </w:pPr>
      <w:r>
        <w:rPr>
          <w:sz w:val="24"/>
        </w:rPr>
      </w:r>
    </w:p>
    <w:p>
      <w:pPr>
        <w:pStyle w:val="0"/>
        <w:ind w:firstLine="540"/>
        <w:jc w:val="both"/>
      </w:pPr>
      <w:r>
        <w:rPr>
          <w:sz w:val="24"/>
        </w:rPr>
        <w:t xml:space="preserve">2.1. В Российской Федерации ежегодно проводится оценка состояния радиационной безопасности в организациях, осуществляющих обращение с ИИИ, и на территориях субъектов Российской Федерации. Указанная работа проводится в форме радиационно-гигиенической паспортизации (далее - РГП) организаций, осуществляющих обращение с ИИИ и территорий субъектов Российской Федерации &lt;1&gt;.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&lt;1&gt; </w:t>
      </w:r>
      <w:hyperlink w:history="0" r:id="rId9" w:tooltip="Федеральный закон от 09.01.1996 N 3-ФЗ (ред. от 31.07.2025) &quot;О радиационной безопасности населения&quot; {КонсультантПлюс}">
        <w:r>
          <w:rPr>
            <w:sz w:val="24"/>
            <w:color w:val="0000ff"/>
          </w:rPr>
          <w:t xml:space="preserve">Статья 13</w:t>
        </w:r>
      </w:hyperlink>
      <w:r>
        <w:rPr>
          <w:sz w:val="24"/>
        </w:rPr>
        <w:t xml:space="preserve"> Федерального закона от 09.01.1996 N 3-ФЗ "О радиационной безопасности населения" (далее - Федеральный закон от 09.01.1996 N 3-ФЗ).</w:t>
      </w:r>
    </w:p>
    <w:p>
      <w:pPr>
        <w:pStyle w:val="0"/>
        <w:jc w:val="both"/>
      </w:pPr>
      <w:r>
        <w:rPr>
          <w:sz w:val="24"/>
        </w:rPr>
      </w:r>
    </w:p>
    <w:p>
      <w:pPr>
        <w:pStyle w:val="0"/>
        <w:ind w:firstLine="540"/>
        <w:jc w:val="both"/>
      </w:pPr>
      <w:r>
        <w:rPr>
          <w:sz w:val="24"/>
        </w:rPr>
        <w:t xml:space="preserve">2.2. Организация РГП в субъектах Российской Федерации, возложена на администрации субъектов Российской Федерации &lt;2&gt;. Контроль за проведением РГП организаций и территорий осуществляется Федеральной службой по надзору в сфере защиты прав потребителей и благополучия человека и ее территориальными органами.</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&lt;2&gt; </w:t>
      </w:r>
      <w:hyperlink w:history="0" r:id="rId10" w:tooltip="Постановление Правительства РФ от 28.01.1997 N 93 (ред. от 10.07.2014) &quot;О Порядке разработки радиационно-гигиенических паспортов организаций и территорий&quot; {КонсультантПлюс}">
        <w:r>
          <w:rPr>
            <w:sz w:val="24"/>
            <w:color w:val="0000ff"/>
          </w:rPr>
          <w:t xml:space="preserve">Постановление</w:t>
        </w:r>
      </w:hyperlink>
      <w:r>
        <w:rPr>
          <w:sz w:val="24"/>
        </w:rPr>
        <w:t xml:space="preserve"> Правительства Российской Федерации от 28.01.1997 N 93 "О порядке разработки радиационно-гигиенических паспортов организаций и территорий".</w:t>
      </w:r>
    </w:p>
    <w:p>
      <w:pPr>
        <w:pStyle w:val="0"/>
        <w:jc w:val="both"/>
      </w:pPr>
      <w:r>
        <w:rPr>
          <w:sz w:val="24"/>
        </w:rPr>
      </w:r>
    </w:p>
    <w:p>
      <w:pPr>
        <w:pStyle w:val="0"/>
        <w:ind w:firstLine="540"/>
        <w:jc w:val="both"/>
      </w:pPr>
      <w:r>
        <w:rPr>
          <w:sz w:val="24"/>
        </w:rPr>
        <w:t xml:space="preserve">2.3. РГП организаций и территорий является государственной системой оценки влияния основных ИИИ (техногенных и природных) и направлена на обеспечение радиационной безопасности населения.</w:t>
      </w:r>
    </w:p>
    <w:p>
      <w:pPr>
        <w:pStyle w:val="0"/>
        <w:spacing w:before="240" w:lineRule="auto"/>
        <w:ind w:firstLine="540"/>
        <w:jc w:val="both"/>
      </w:pPr>
      <w:r>
        <w:rPr>
          <w:sz w:val="24"/>
        </w:rPr>
        <w:t xml:space="preserve">2.4. Ежегодно все организации, осуществляющие обращение с ИИИ или содержащими их изделиями (производство, хранение, эксплуатация, транспортирование, размещение, техническое обслуживание, утилизация), за исключением организаций, осуществляющих обращение с освобожденными от контроля ИИИ &lt;3&gt;, заполняют РГПО.</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&lt;3&gt; </w:t>
      </w:r>
      <w:hyperlink w:history="0" r:id="rId11" w:tooltip="Постановление Главного государственного санитарного врача РФ от 26.04.2010 N 40 (ред. от 16.09.2013) &quot;Об утверждении СП 2.6.1.2612-10 &quot;Основные санитарные правила обеспечения радиационной безопасности (ОСПОРБ-99/2010)&quot; (вместе с &quot;СП 2.6.1.2612-10. ОСПОРБ-99/2010. Санитарные правила и нормативы...&quot;) (Зарегистрировано в Минюсте России 11.08.2010 N 18115) {КонсультантПлюс}">
        <w:r>
          <w:rPr>
            <w:sz w:val="24"/>
            <w:color w:val="0000ff"/>
          </w:rPr>
          <w:t xml:space="preserve">Пункты 1.7.1</w:t>
        </w:r>
      </w:hyperlink>
      <w:r>
        <w:rPr>
          <w:sz w:val="24"/>
        </w:rPr>
        <w:t xml:space="preserve">, </w:t>
      </w:r>
      <w:hyperlink w:history="0" r:id="rId12" w:tooltip="Постановление Главного государственного санитарного врача РФ от 26.04.2010 N 40 (ред. от 16.09.2013) &quot;Об утверждении СП 2.6.1.2612-10 &quot;Основные санитарные правила обеспечения радиационной безопасности (ОСПОРБ-99/2010)&quot; (вместе с &quot;СП 2.6.1.2612-10. ОСПОРБ-99/2010. Санитарные правила и нормативы...&quot;) (Зарегистрировано в Минюсте России 11.08.2010 N 18115) {КонсультантПлюс}">
        <w:r>
          <w:rPr>
            <w:sz w:val="24"/>
            <w:color w:val="0000ff"/>
          </w:rPr>
          <w:t xml:space="preserve">1.7.2</w:t>
        </w:r>
      </w:hyperlink>
      <w:r>
        <w:rPr>
          <w:sz w:val="24"/>
        </w:rPr>
        <w:t xml:space="preserve"> СП 2.6.1.2612-10 "Основные санитарные правила обеспечения радиационной безопасности (ОСПОРБ-99/2010)" (далее - ОСПОРБ-99/2010), утвержденных постановлением Главного государственного санитарного врача Российской Федерации от 26.04.2010 N 40 (зарегистрировано Минюстом России 11.08.2010, регистрационный номер 18115), с изменениями, внесенными постановлением Главного государственного санитарного врача Российской Федерации от 16.09.2013 N 43 (зарегистрировано Минюстом России 05.11.2013, регистрационный N 30309).</w:t>
      </w:r>
    </w:p>
    <w:p>
      <w:pPr>
        <w:pStyle w:val="0"/>
        <w:jc w:val="both"/>
      </w:pPr>
      <w:r>
        <w:rPr>
          <w:sz w:val="24"/>
        </w:rPr>
      </w:r>
    </w:p>
    <w:p>
      <w:pPr>
        <w:pStyle w:val="0"/>
        <w:ind w:firstLine="540"/>
        <w:jc w:val="both"/>
      </w:pPr>
      <w:r>
        <w:rPr>
          <w:sz w:val="24"/>
        </w:rPr>
        <w:t xml:space="preserve">При наличии в организации обособленных подразделений, постоянно осуществляющих обращение с техногенными ИИИ за пределами территории субъекта Российской Федерации, в котором зарегистрирована организация, на них заполняют отдельный РГПО, который представляется в администрации субъекта Российской Федерации, в котором осуществляется деятельность обособленного подразделения.</w:t>
      </w:r>
    </w:p>
    <w:p>
      <w:pPr>
        <w:pStyle w:val="0"/>
        <w:spacing w:before="240" w:lineRule="auto"/>
        <w:ind w:firstLine="540"/>
        <w:jc w:val="both"/>
      </w:pPr>
      <w:r>
        <w:rPr>
          <w:sz w:val="24"/>
        </w:rPr>
        <w:t xml:space="preserve">2.5. В РГПО организации приводят оценку состояния радиационной безопасности в виде численных значений параметров радиационной обстановки, характеризующих деятельность организации и уровень радиационного воздействия на объекты окружающей среды в санитарно-защитной зоне и зоне наблюдения, на персонал, работающий с техногенными ИИИ, и на население зоны наблюдения за счет использования техногенных ИИИ.</w:t>
      </w:r>
    </w:p>
    <w:p>
      <w:pPr>
        <w:pStyle w:val="0"/>
        <w:jc w:val="both"/>
      </w:pPr>
      <w:r>
        <w:rPr>
          <w:sz w:val="24"/>
        </w:rPr>
      </w:r>
    </w:p>
    <w:p>
      <w:pPr>
        <w:pStyle w:val="2"/>
        <w:outlineLvl w:val="1"/>
        <w:jc w:val="center"/>
      </w:pPr>
      <w:r>
        <w:rPr>
          <w:sz w:val="24"/>
        </w:rPr>
        <w:t xml:space="preserve">III. ОРГАНИЗАЦИЯ РАДИАЦИОННО-ГИГИЕНИЧЕСКОЙ ПАСПОРТИЗАЦИИ</w:t>
      </w:r>
    </w:p>
    <w:p>
      <w:pPr>
        <w:pStyle w:val="0"/>
        <w:jc w:val="both"/>
      </w:pPr>
      <w:r>
        <w:rPr>
          <w:sz w:val="24"/>
        </w:rPr>
      </w:r>
    </w:p>
    <w:p>
      <w:pPr>
        <w:pStyle w:val="0"/>
        <w:ind w:firstLine="540"/>
        <w:jc w:val="both"/>
      </w:pPr>
      <w:r>
        <w:rPr>
          <w:sz w:val="24"/>
        </w:rPr>
        <w:t xml:space="preserve">3.1. Одним из основных источников информации для заполнения РГПО является Единая государственная система контроля и учета индивидуальных доз облучения граждан Российской Федерации (далее - ЕСКИД) &lt;4&gt;. Получаемые в рамках ЕСКИД данные о дозах производственного облучения персонала в условиях нормальной эксплуатации ИИИ, аварийного облучения персонала и населения в случае радиационной аварии, а также медицинского облучения пациентов, используются для заполнения соответствующих разделов РГПО. Для обеспечения единства форматов информации, представляемой в формах ЕСКИД и в РГПО, а также для обеспечения возможности компьютерной обработки, заносимой в РГПО информации, структура представления информации формализована в виде набора стандартных таблиц и реализована в виде единого программного обеспечения радиационно-гигиенической паспортизации и ЕСКИД, которое используется для заполнения РГПО. Это обеспечивает возможность эффективного информационного обмена между базами данных радиационно-гигиенической паспортизации и ЕСКИД и использования компьютерных технологий в радиационно-гигиенической паспортизации.</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&lt;4&gt; </w:t>
      </w:r>
      <w:hyperlink w:history="0" r:id="rId13" w:tooltip="Постановление Правительства РФ от 16.06.1997 N 718 (ред. от 05.06.2013) &quot;О порядке создания Единой государственной системы контроля и учета индивидуальных доз облучения граждан&quot; {КонсультантПлюс}">
        <w:r>
          <w:rPr>
            <w:sz w:val="24"/>
            <w:color w:val="0000ff"/>
          </w:rPr>
          <w:t xml:space="preserve">Постановление</w:t>
        </w:r>
      </w:hyperlink>
      <w:r>
        <w:rPr>
          <w:sz w:val="24"/>
        </w:rPr>
        <w:t xml:space="preserve"> Правительства Российской Федерации от 16.06.1997 N 718 "О порядке создания единой государственной системы контроля и учета индивидуальных доз облучения граждан" (далее - постановление Правительства Российской Федерации от 16.06.1997 N 718).</w:t>
      </w:r>
    </w:p>
    <w:p>
      <w:pPr>
        <w:pStyle w:val="0"/>
        <w:jc w:val="both"/>
      </w:pPr>
      <w:r>
        <w:rPr>
          <w:sz w:val="24"/>
        </w:rPr>
      </w:r>
    </w:p>
    <w:p>
      <w:pPr>
        <w:pStyle w:val="0"/>
        <w:ind w:firstLine="540"/>
        <w:jc w:val="both"/>
      </w:pPr>
      <w:r>
        <w:rPr>
          <w:sz w:val="24"/>
        </w:rPr>
        <w:t xml:space="preserve">3.2. Для заполнения РГПО могут использоваться следующие компьютерные программы &lt;5&gt;: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&lt;5&gt; Примечание: указанные программы позволяют заполнять РГПО и формировать стандартный файл передачи для представления в администрации субъекта Российской Федерации и управления Роспотребнадзора по субъекту Российской Федерации. Программное обеспечение и электронные копии формы РГПО размещены на официальном сайте ФБУН "Санкт-Петербургский научно-исследовательский институт радиационной гигиены имени профессора П.В. Рамзаева" Роспотребнадзора: www.niirg.ru/SoftWare.htm (в свободном доступе).</w:t>
      </w:r>
    </w:p>
    <w:p>
      <w:pPr>
        <w:pStyle w:val="0"/>
        <w:jc w:val="both"/>
      </w:pPr>
      <w:r>
        <w:rPr>
          <w:sz w:val="24"/>
        </w:rPr>
      </w:r>
    </w:p>
    <w:p>
      <w:pPr>
        <w:pStyle w:val="0"/>
        <w:ind w:firstLine="540"/>
        <w:jc w:val="both"/>
      </w:pPr>
      <w:r>
        <w:rPr>
          <w:sz w:val="24"/>
        </w:rPr>
        <w:t xml:space="preserve">- программа ФФ-РГПс предназначена для заполнения РГПО организациями, которые используют в своей деятельности техногенные ИИИ, но не проводят медицинские рентгенорадиологические исследования пациентов;</w:t>
      </w:r>
    </w:p>
    <w:p>
      <w:pPr>
        <w:pStyle w:val="0"/>
        <w:spacing w:before="240" w:lineRule="auto"/>
        <w:ind w:firstLine="540"/>
        <w:jc w:val="both"/>
      </w:pPr>
      <w:r>
        <w:rPr>
          <w:sz w:val="24"/>
        </w:rPr>
        <w:t xml:space="preserve">- программа ФФ-РГПм предназначена для заполнения РГПО организациями лечебно-профилактического профиля, которые используют в своей деятельности техногенные ИИИ для проведения медицинских диагностических исследований пациентов;</w:t>
      </w:r>
    </w:p>
    <w:p>
      <w:pPr>
        <w:pStyle w:val="0"/>
        <w:spacing w:before="240" w:lineRule="auto"/>
        <w:ind w:firstLine="540"/>
        <w:jc w:val="both"/>
      </w:pPr>
      <w:r>
        <w:rPr>
          <w:sz w:val="24"/>
        </w:rPr>
        <w:t xml:space="preserve">- программа РБД-РГП предназначена для специалистов управлений Роспотребнадзора по субъектам Российской Федерации и позволяет работать с РГПО, составлять по ним заключения и формировать региональный банк данных РГПО.</w:t>
      </w:r>
    </w:p>
    <w:p>
      <w:pPr>
        <w:pStyle w:val="0"/>
        <w:spacing w:before="240" w:lineRule="auto"/>
        <w:ind w:firstLine="540"/>
        <w:jc w:val="both"/>
      </w:pPr>
      <w:r>
        <w:rPr>
          <w:sz w:val="24"/>
        </w:rPr>
        <w:t xml:space="preserve">Форма РГПО приведена в </w:t>
      </w:r>
      <w:hyperlink w:history="0" w:anchor="P136" w:tooltip="ФОРМА РАДИАЦИОННО-ГИГИЕНИЧЕСКОГО ПАСПОРТА">
        <w:r>
          <w:rPr>
            <w:sz w:val="24"/>
            <w:color w:val="0000ff"/>
          </w:rPr>
          <w:t xml:space="preserve">приложении 1</w:t>
        </w:r>
      </w:hyperlink>
      <w:r>
        <w:rPr>
          <w:sz w:val="24"/>
        </w:rPr>
        <w:t xml:space="preserve"> к настоящим МР.</w:t>
      </w:r>
    </w:p>
    <w:p>
      <w:pPr>
        <w:pStyle w:val="0"/>
        <w:spacing w:before="240" w:lineRule="auto"/>
        <w:ind w:firstLine="540"/>
        <w:jc w:val="both"/>
      </w:pPr>
      <w:r>
        <w:rPr>
          <w:sz w:val="24"/>
        </w:rPr>
        <w:t xml:space="preserve">Инструкция по заполнению РГПО приведена в </w:t>
      </w:r>
      <w:hyperlink w:history="0" w:anchor="P891" w:tooltip="ИНСТРУКЦИЯ">
        <w:r>
          <w:rPr>
            <w:sz w:val="24"/>
            <w:color w:val="0000ff"/>
          </w:rPr>
          <w:t xml:space="preserve">приложении 2</w:t>
        </w:r>
      </w:hyperlink>
      <w:r>
        <w:rPr>
          <w:sz w:val="24"/>
        </w:rPr>
        <w:t xml:space="preserve"> к настоящим МР.</w:t>
      </w:r>
    </w:p>
    <w:p>
      <w:pPr>
        <w:pStyle w:val="0"/>
        <w:spacing w:before="240" w:lineRule="auto"/>
        <w:ind w:firstLine="540"/>
        <w:jc w:val="both"/>
      </w:pPr>
      <w:r>
        <w:rPr>
          <w:sz w:val="24"/>
        </w:rPr>
        <w:t xml:space="preserve">3.3. В радиационно-гигиенические паспорта заносится информация, полученная из официальных источников (протоколы измерений или отчеты аккредитованных лабораторий (далее - ЛРК) &lt;6&gt;, организаций Федеральной службы по надзору в сфере защиты прав потребителей и благополучия человека, Федеральной службы по гидрометеорологии и мониторингу окружающей среды). Используются количественные значения параметров радиационной обстановки, основанные на результатах измерений, проведенных в отчетном году ЛРК.</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&lt;6&gt; Федеральный </w:t>
      </w:r>
      <w:hyperlink w:history="0" r:id="rId14" w:tooltip="Федеральный закон от 28.12.2013 N 412-ФЗ (ред. от 31.07.2025) &quot;Об аккредитации в национальной системе аккредитации&quot; {КонсультантПлюс}">
        <w:r>
          <w:rPr>
            <w:sz w:val="24"/>
            <w:color w:val="0000ff"/>
          </w:rPr>
          <w:t xml:space="preserve">закон</w:t>
        </w:r>
      </w:hyperlink>
      <w:r>
        <w:rPr>
          <w:sz w:val="24"/>
        </w:rPr>
        <w:t xml:space="preserve"> от 28.12.2013 N 412-ФЗ "Об аккредитации в национальной системе аккредитации" (далее - Федеральный закон от 28.12.2013 N 412-ФЗ).</w:t>
      </w:r>
    </w:p>
    <w:p>
      <w:pPr>
        <w:pStyle w:val="0"/>
        <w:jc w:val="both"/>
      </w:pPr>
      <w:r>
        <w:rPr>
          <w:sz w:val="24"/>
        </w:rPr>
      </w:r>
    </w:p>
    <w:p>
      <w:pPr>
        <w:pStyle w:val="0"/>
        <w:ind w:firstLine="540"/>
        <w:jc w:val="both"/>
      </w:pPr>
      <w:r>
        <w:rPr>
          <w:sz w:val="24"/>
        </w:rPr>
        <w:t xml:space="preserve">3.4. Для получения заключения организации представляют РГПО в управления Роспотребнадзора по субъектам Российской Федерации &lt;7&gt; на электронном носителе и на бумажном носителе.</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&lt;7&gt; </w:t>
      </w:r>
      <w:hyperlink w:history="0" r:id="rId15" w:tooltip="Постановление Правительства РФ от 28.01.1997 N 93 (ред. от 10.07.2014) &quot;О Порядке разработки радиационно-гигиенических паспортов организаций и территорий&quot; {КонсультантПлюс}">
        <w:r>
          <w:rPr>
            <w:sz w:val="24"/>
            <w:color w:val="0000ff"/>
          </w:rPr>
          <w:t xml:space="preserve">Пункт 9</w:t>
        </w:r>
      </w:hyperlink>
      <w:r>
        <w:rPr>
          <w:sz w:val="24"/>
        </w:rPr>
        <w:t xml:space="preserve"> Постановления Правительства Российской Федерации от 28.01.1997 N 93 "О порядке разработки радиационно-гигиенических паспортов организаций и территорий".</w:t>
      </w:r>
    </w:p>
    <w:p>
      <w:pPr>
        <w:pStyle w:val="0"/>
        <w:jc w:val="both"/>
      </w:pPr>
      <w:r>
        <w:rPr>
          <w:sz w:val="24"/>
        </w:rPr>
      </w:r>
    </w:p>
    <w:p>
      <w:pPr>
        <w:pStyle w:val="0"/>
        <w:ind w:firstLine="540"/>
        <w:jc w:val="both"/>
      </w:pPr>
      <w:r>
        <w:rPr>
          <w:sz w:val="24"/>
        </w:rPr>
        <w:t xml:space="preserve">РГПО вместе с заключением передается администрации субъекта Российской Федерации. Сроки представления РГПО определяются администрацией субъекта Российской Федерации, но не позднее 1 апреля года, следующего за отчетным.</w:t>
      </w:r>
    </w:p>
    <w:p>
      <w:pPr>
        <w:pStyle w:val="0"/>
        <w:spacing w:before="240" w:lineRule="auto"/>
        <w:ind w:firstLine="540"/>
        <w:jc w:val="both"/>
      </w:pPr>
      <w:r>
        <w:rPr>
          <w:sz w:val="24"/>
        </w:rPr>
        <w:t xml:space="preserve">3.5. Заполнение РГПТ субъекта Российской Федерации организуется администрацией субъекта Российской Федерации. В РГПТ ежегодно заносится информация о состоянии радиационной безопасности на территориях субъектов Российской Федерации за отчетный год, которая характеризуется радиоактивным загрязнением окружающей среды, проводимыми мероприятиями по радиационной безопасности, дозами облучения, получаемыми отдельными группами населения от всех ИИИ, числом лиц, подвергшихся облучению выше установленных пределов дозы &lt;8&gt;, степенью готовности к эффективной ликвидации радиационных аварий и их последствий.</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&lt;8&gt; </w:t>
      </w:r>
      <w:hyperlink w:history="0" r:id="rId16" w:tooltip="Постановление Главного государственного санитарного врача РФ от 07.07.2009 N 47 &quot;Об утверждении СанПиН 2.6.1.2523-09&quot; (вместе с &quot;НРБ-99/2009. СанПиН 2.6.1.2523-09. Нормы радиационной безопасности. Санитарные правила и нормативы&quot;) (Зарегистрировано в Минюсте РФ 14.08.2009 N 14534) {КонсультантПлюс}">
        <w:r>
          <w:rPr>
            <w:sz w:val="24"/>
            <w:color w:val="0000ff"/>
          </w:rPr>
          <w:t xml:space="preserve">СанПиН 2.6.1.2523-09</w:t>
        </w:r>
      </w:hyperlink>
      <w:r>
        <w:rPr>
          <w:sz w:val="24"/>
        </w:rPr>
        <w:t xml:space="preserve"> "Нормы радиационной безопасности (НРБ-99/2009)" (далее - НРБ-99/2009), утвержденные постановлением Главного государственного санитарного врача Российской Федерации от 07.07.2009 N 47 (зарегистрировано Минюстом России 14.08.2009, регистрационный номер 14534).</w:t>
      </w:r>
    </w:p>
    <w:p>
      <w:pPr>
        <w:pStyle w:val="0"/>
        <w:jc w:val="both"/>
      </w:pPr>
      <w:r>
        <w:rPr>
          <w:sz w:val="24"/>
        </w:rPr>
      </w:r>
    </w:p>
    <w:p>
      <w:pPr>
        <w:pStyle w:val="0"/>
        <w:ind w:firstLine="540"/>
        <w:jc w:val="both"/>
      </w:pPr>
      <w:r>
        <w:rPr>
          <w:sz w:val="24"/>
        </w:rPr>
        <w:t xml:space="preserve">В РГПТ также приводится оценка администрацией состояния радиационной безопасности в субъекте Российской Федерации и сведения о выполненных за отчетный год мероприятиях по обеспечению радиационной безопасности.</w:t>
      </w:r>
    </w:p>
    <w:p>
      <w:pPr>
        <w:pStyle w:val="0"/>
        <w:spacing w:before="240" w:lineRule="auto"/>
        <w:ind w:firstLine="540"/>
        <w:jc w:val="both"/>
      </w:pPr>
      <w:r>
        <w:rPr>
          <w:sz w:val="24"/>
        </w:rPr>
        <w:t xml:space="preserve">Руководителем управления Роспотребнадзора по субъекту Российской Федерации выдается заключение о достоверности и полноте, представленной в РГПТ информации, и о состоянии радиационной обстановки в субъекте Российской Федерации за отчетный год с рекомендациями администрации на следующий период.</w:t>
      </w:r>
    </w:p>
    <w:p>
      <w:pPr>
        <w:pStyle w:val="0"/>
        <w:spacing w:before="240" w:lineRule="auto"/>
        <w:ind w:firstLine="540"/>
        <w:jc w:val="both"/>
      </w:pPr>
      <w:r>
        <w:rPr>
          <w:sz w:val="24"/>
        </w:rPr>
        <w:t xml:space="preserve">3.6. Оценка радиационной безопасности проводится на основе заносимых в РГПТ количественных показателей радиационного воздействия на окружающую среду, персонал и население, а также характеристик последствий этого воздействия, к которым относятся:</w:t>
      </w:r>
    </w:p>
    <w:p>
      <w:pPr>
        <w:pStyle w:val="0"/>
        <w:spacing w:before="240" w:lineRule="auto"/>
        <w:ind w:firstLine="540"/>
        <w:jc w:val="both"/>
      </w:pPr>
      <w:r>
        <w:rPr>
          <w:sz w:val="24"/>
        </w:rPr>
        <w:t xml:space="preserve">- количество организаций различного вида, осуществляющих обращение с техногенными ИИИ на территории субъекта Российской Федерации, численность работающего в них персонала группы А и группы Б &lt;9&gt;;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&lt;9&gt; </w:t>
      </w:r>
      <w:hyperlink w:history="0" r:id="rId17" w:tooltip="Постановление Главного государственного санитарного врача РФ от 07.07.2009 N 47 &quot;Об утверждении СанПиН 2.6.1.2523-09&quot; (вместе с &quot;НРБ-99/2009. СанПиН 2.6.1.2523-09. Нормы радиационной безопасности. Санитарные правила и нормативы&quot;) (Зарегистрировано в Минюсте РФ 14.08.2009 N 14534) {КонсультантПлюс}">
        <w:r>
          <w:rPr>
            <w:sz w:val="24"/>
            <w:color w:val="0000ff"/>
          </w:rPr>
          <w:t xml:space="preserve">Пункт 48</w:t>
        </w:r>
      </w:hyperlink>
      <w:r>
        <w:rPr>
          <w:sz w:val="24"/>
        </w:rPr>
        <w:t xml:space="preserve"> приложения 7 к НРБ-99/2009.</w:t>
      </w:r>
    </w:p>
    <w:p>
      <w:pPr>
        <w:pStyle w:val="0"/>
        <w:jc w:val="both"/>
      </w:pPr>
      <w:r>
        <w:rPr>
          <w:sz w:val="24"/>
        </w:rPr>
      </w:r>
    </w:p>
    <w:p>
      <w:pPr>
        <w:pStyle w:val="0"/>
        <w:ind w:firstLine="540"/>
        <w:jc w:val="both"/>
      </w:pPr>
      <w:r>
        <w:rPr>
          <w:sz w:val="24"/>
        </w:rPr>
        <w:t xml:space="preserve">- количество различных типов установок с ИИИ, имеющихся в организациях на территории субъекта Российской Федерации;</w:t>
      </w:r>
    </w:p>
    <w:p>
      <w:pPr>
        <w:pStyle w:val="0"/>
        <w:spacing w:before="240" w:lineRule="auto"/>
        <w:ind w:firstLine="540"/>
        <w:jc w:val="both"/>
      </w:pPr>
      <w:r>
        <w:rPr>
          <w:sz w:val="24"/>
        </w:rPr>
        <w:t xml:space="preserve">- уровни радиоактивного загрязнения объектов окружающей среды;</w:t>
      </w:r>
    </w:p>
    <w:p>
      <w:pPr>
        <w:pStyle w:val="0"/>
        <w:spacing w:before="240" w:lineRule="auto"/>
        <w:ind w:firstLine="540"/>
        <w:jc w:val="both"/>
      </w:pPr>
      <w:r>
        <w:rPr>
          <w:sz w:val="24"/>
        </w:rPr>
        <w:t xml:space="preserve">- уровни радиоактивного загрязнения пищевых продуктов, в том числе питьевой воды;</w:t>
      </w:r>
    </w:p>
    <w:p>
      <w:pPr>
        <w:pStyle w:val="0"/>
        <w:spacing w:before="240" w:lineRule="auto"/>
        <w:ind w:firstLine="540"/>
        <w:jc w:val="both"/>
      </w:pPr>
      <w:r>
        <w:rPr>
          <w:sz w:val="24"/>
        </w:rPr>
        <w:t xml:space="preserve">- характеристики природных ИИИ;</w:t>
      </w:r>
    </w:p>
    <w:p>
      <w:pPr>
        <w:pStyle w:val="0"/>
        <w:spacing w:before="240" w:lineRule="auto"/>
        <w:ind w:firstLine="540"/>
        <w:jc w:val="both"/>
      </w:pPr>
      <w:r>
        <w:rPr>
          <w:sz w:val="24"/>
        </w:rPr>
        <w:t xml:space="preserve">- дозы облучения от медицинских рентгенорадиологических диагностических процедур;</w:t>
      </w:r>
    </w:p>
    <w:p>
      <w:pPr>
        <w:pStyle w:val="0"/>
        <w:spacing w:before="240" w:lineRule="auto"/>
        <w:ind w:firstLine="540"/>
        <w:jc w:val="both"/>
      </w:pPr>
      <w:r>
        <w:rPr>
          <w:sz w:val="24"/>
        </w:rPr>
        <w:t xml:space="preserve">- годовые эффективные дозы облучения персонала и населения от всех основных ИИИ (техногенные, природные, медицинские, аварийные);</w:t>
      </w:r>
    </w:p>
    <w:p>
      <w:pPr>
        <w:pStyle w:val="0"/>
        <w:spacing w:before="240" w:lineRule="auto"/>
        <w:ind w:firstLine="540"/>
        <w:jc w:val="both"/>
      </w:pPr>
      <w:r>
        <w:rPr>
          <w:sz w:val="24"/>
        </w:rPr>
        <w:t xml:space="preserve">- количество лиц из населения и персонала, индивидуальные годовые эффективные дозы которых превышают установленные для них пределы &lt;10&gt;;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&lt;10&gt; </w:t>
      </w:r>
      <w:hyperlink w:history="0" r:id="rId18" w:tooltip="Постановление Главного государственного санитарного врача РФ от 07.07.2009 N 47 &quot;Об утверждении СанПиН 2.6.1.2523-09&quot; (вместе с &quot;НРБ-99/2009. СанПиН 2.6.1.2523-09. Нормы радиационной безопасности. Санитарные правила и нормативы&quot;) (Зарегистрировано в Минюсте РФ 14.08.2009 N 14534) {КонсультантПлюс}">
        <w:r>
          <w:rPr>
            <w:sz w:val="24"/>
            <w:color w:val="0000ff"/>
          </w:rPr>
          <w:t xml:space="preserve">НРБ-99/2009</w:t>
        </w:r>
      </w:hyperlink>
      <w:r>
        <w:rPr>
          <w:sz w:val="24"/>
        </w:rPr>
        <w:t xml:space="preserve">.</w:t>
      </w:r>
    </w:p>
    <w:p>
      <w:pPr>
        <w:pStyle w:val="0"/>
        <w:jc w:val="both"/>
      </w:pPr>
      <w:r>
        <w:rPr>
          <w:sz w:val="24"/>
        </w:rPr>
      </w:r>
    </w:p>
    <w:p>
      <w:pPr>
        <w:pStyle w:val="0"/>
        <w:ind w:firstLine="540"/>
        <w:jc w:val="both"/>
      </w:pPr>
      <w:r>
        <w:rPr>
          <w:sz w:val="24"/>
        </w:rPr>
        <w:t xml:space="preserve">- количество радиационных аварий и их последствия;</w:t>
      </w:r>
    </w:p>
    <w:p>
      <w:pPr>
        <w:pStyle w:val="0"/>
        <w:spacing w:before="240" w:lineRule="auto"/>
        <w:ind w:firstLine="540"/>
        <w:jc w:val="both"/>
      </w:pPr>
      <w:r>
        <w:rPr>
          <w:sz w:val="24"/>
        </w:rPr>
        <w:t xml:space="preserve">- наличие и число случаев лучевой патологии;</w:t>
      </w:r>
    </w:p>
    <w:p>
      <w:pPr>
        <w:pStyle w:val="0"/>
        <w:spacing w:before="240" w:lineRule="auto"/>
        <w:ind w:firstLine="540"/>
        <w:jc w:val="both"/>
      </w:pPr>
      <w:r>
        <w:rPr>
          <w:sz w:val="24"/>
        </w:rPr>
        <w:t xml:space="preserve">- готовность к ликвидации последствий возможных радиационных аварий.</w:t>
      </w:r>
    </w:p>
    <w:p>
      <w:pPr>
        <w:pStyle w:val="0"/>
        <w:spacing w:before="240" w:lineRule="auto"/>
        <w:ind w:firstLine="540"/>
        <w:jc w:val="both"/>
      </w:pPr>
      <w:r>
        <w:rPr>
          <w:sz w:val="24"/>
        </w:rPr>
        <w:t xml:space="preserve">3.7. При заполнении РГПТ используются следующие источники информации:</w:t>
      </w:r>
    </w:p>
    <w:p>
      <w:pPr>
        <w:pStyle w:val="0"/>
        <w:spacing w:before="240" w:lineRule="auto"/>
        <w:ind w:firstLine="540"/>
        <w:jc w:val="both"/>
      </w:pPr>
      <w:r>
        <w:rPr>
          <w:sz w:val="24"/>
        </w:rPr>
        <w:t xml:space="preserve">- РГПО расположенных на территории субъекта Российской Федерации организаций, осуществляющих деятельность с техногенными ИИИ;</w:t>
      </w:r>
    </w:p>
    <w:p>
      <w:pPr>
        <w:pStyle w:val="0"/>
        <w:spacing w:before="240" w:lineRule="auto"/>
        <w:ind w:firstLine="540"/>
        <w:jc w:val="both"/>
      </w:pPr>
      <w:r>
        <w:rPr>
          <w:sz w:val="24"/>
        </w:rPr>
        <w:t xml:space="preserve">- данные, получаемые в рамках региональных и (или) территориальных программ в области обеспечения радиационной безопасности для организации контроля за радиационной обстановкой на соответствующей территории (далее - территориальной программы радиационного мониторинга), осуществление которых, отнесены к полномочиям субъектов Российской Федерации &lt;11&gt;;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&lt;11&gt; </w:t>
      </w:r>
      <w:hyperlink w:history="0" r:id="rId19" w:tooltip="Федеральный закон от 09.01.1996 N 3-ФЗ (ред. от 31.07.2025) &quot;О радиационной безопасности населения&quot; {КонсультантПлюс}">
        <w:r>
          <w:rPr>
            <w:sz w:val="24"/>
            <w:color w:val="0000ff"/>
          </w:rPr>
          <w:t xml:space="preserve">Статья 6</w:t>
        </w:r>
      </w:hyperlink>
      <w:r>
        <w:rPr>
          <w:sz w:val="24"/>
        </w:rPr>
        <w:t xml:space="preserve"> Федерального закона от 09.01.1996 N 3-ФЗ.</w:t>
      </w:r>
    </w:p>
    <w:p>
      <w:pPr>
        <w:pStyle w:val="0"/>
        <w:jc w:val="both"/>
      </w:pPr>
      <w:r>
        <w:rPr>
          <w:sz w:val="24"/>
        </w:rPr>
      </w:r>
    </w:p>
    <w:p>
      <w:pPr>
        <w:pStyle w:val="0"/>
        <w:ind w:firstLine="540"/>
        <w:jc w:val="both"/>
      </w:pPr>
      <w:r>
        <w:rPr>
          <w:sz w:val="24"/>
        </w:rPr>
        <w:t xml:space="preserve">- формы федерального государственного статистического наблюдения (далее - </w:t>
      </w:r>
      <w:hyperlink w:history="0" r:id="rId20" w:tooltip="Приказ Росстата от 16.10.2013 N 411 (ред. от 30.11.2022) &quot;Об утверждении статистического инструментария для организации Федеральной службой по надзору в сфере защиты прав потребителей и благополучия человека федерального статистического наблюдения за санитарным состоянием территорий, профессиональными заболеваниями (отравлениями), дозами облучения&quot; {КонсультантПлюс}">
        <w:r>
          <w:rPr>
            <w:sz w:val="24"/>
            <w:color w:val="0000ff"/>
          </w:rPr>
          <w:t xml:space="preserve">форма N 1-ДОЗ</w:t>
        </w:r>
      </w:hyperlink>
      <w:r>
        <w:rPr>
          <w:sz w:val="24"/>
        </w:rPr>
        <w:t xml:space="preserve">, </w:t>
      </w:r>
      <w:hyperlink w:history="0" r:id="rId21" w:tooltip="Приказ Росстата от 16.10.2013 N 411 (ред. от 30.11.2022) &quot;Об утверждении статистического инструментария для организации Федеральной службой по надзору в сфере защиты прав потребителей и благополучия человека федерального статистического наблюдения за санитарным состоянием территорий, профессиональными заболеваниями (отравлениями), дозами облучения&quot; {КонсультантПлюс}">
        <w:r>
          <w:rPr>
            <w:sz w:val="24"/>
            <w:color w:val="0000ff"/>
          </w:rPr>
          <w:t xml:space="preserve">форма N 2-ДОЗ</w:t>
        </w:r>
      </w:hyperlink>
      <w:r>
        <w:rPr>
          <w:sz w:val="24"/>
        </w:rPr>
        <w:t xml:space="preserve">, </w:t>
      </w:r>
      <w:hyperlink w:history="0" r:id="rId22" w:tooltip="Приказ Росстата от 30.11.2022 N 880 &quot;Об утверждении формы федерального статистического наблюдения с указаниями по ее заполнению для организации Федеральной службой по надзору в сфере защиты прав потребителей и благополучия человека федерального статистического наблюдения за санитарным состоянием субъекта Российской Федерации&quot; {КонсультантПлюс}">
        <w:r>
          <w:rPr>
            <w:sz w:val="24"/>
            <w:color w:val="0000ff"/>
          </w:rPr>
          <w:t xml:space="preserve">форма N 3-ДОЗ</w:t>
        </w:r>
      </w:hyperlink>
      <w:r>
        <w:rPr>
          <w:sz w:val="24"/>
        </w:rPr>
        <w:t xml:space="preserve">, </w:t>
      </w:r>
      <w:hyperlink w:history="0" r:id="rId23" w:tooltip="Приказ Росстата от 16.10.2013 N 411 (ред. от 30.11.2022) &quot;Об утверждении статистического инструментария для организации Федеральной службой по надзору в сфере защиты прав потребителей и благополучия человека федерального статистического наблюдения за санитарным состоянием территорий, профессиональными заболеваниями (отравлениями), дозами облучения&quot; {КонсультантПлюс}">
        <w:r>
          <w:rPr>
            <w:sz w:val="24"/>
            <w:color w:val="0000ff"/>
          </w:rPr>
          <w:t xml:space="preserve">форма N 4-ДОЗ</w:t>
        </w:r>
      </w:hyperlink>
      <w:r>
        <w:rPr>
          <w:sz w:val="24"/>
        </w:rPr>
        <w:t xml:space="preserve">), заполняемые в рамках ЕСКИД &lt;12&gt;;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&lt;12&gt; </w:t>
      </w:r>
      <w:hyperlink w:history="0" r:id="rId24" w:tooltip="Постановление Правительства РФ от 16.06.1997 N 718 (ред. от 05.06.2013) &quot;О порядке создания Единой государственной системы контроля и учета индивидуальных доз облучения граждан&quot; {КонсультантПлюс}">
        <w:r>
          <w:rPr>
            <w:sz w:val="24"/>
            <w:color w:val="0000ff"/>
          </w:rPr>
          <w:t xml:space="preserve">Постановление</w:t>
        </w:r>
      </w:hyperlink>
      <w:r>
        <w:rPr>
          <w:sz w:val="24"/>
        </w:rPr>
        <w:t xml:space="preserve"> Правительства Российской Федерации от 16.06.1997 N 718.</w:t>
      </w:r>
    </w:p>
    <w:p>
      <w:pPr>
        <w:pStyle w:val="0"/>
        <w:jc w:val="both"/>
      </w:pPr>
      <w:r>
        <w:rPr>
          <w:sz w:val="24"/>
        </w:rPr>
      </w:r>
    </w:p>
    <w:p>
      <w:pPr>
        <w:pStyle w:val="0"/>
        <w:ind w:firstLine="540"/>
        <w:jc w:val="both"/>
      </w:pPr>
      <w:r>
        <w:rPr>
          <w:sz w:val="24"/>
        </w:rPr>
        <w:t xml:space="preserve">- данные измерений, проводимых на территории ЛРК &lt;13&gt;;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&lt;13&gt; Федеральный </w:t>
      </w:r>
      <w:hyperlink w:history="0" r:id="rId25" w:tooltip="Федеральный закон от 28.12.2013 N 412-ФЗ (ред. от 31.07.2025) &quot;Об аккредитации в национальной системе аккредитации&quot; {КонсультантПлюс}">
        <w:r>
          <w:rPr>
            <w:sz w:val="24"/>
            <w:color w:val="0000ff"/>
          </w:rPr>
          <w:t xml:space="preserve">закон</w:t>
        </w:r>
      </w:hyperlink>
      <w:r>
        <w:rPr>
          <w:sz w:val="24"/>
        </w:rPr>
        <w:t xml:space="preserve"> от 28.12.2013 N 412-ФЗ.</w:t>
      </w:r>
    </w:p>
    <w:p>
      <w:pPr>
        <w:pStyle w:val="0"/>
        <w:jc w:val="both"/>
      </w:pPr>
      <w:r>
        <w:rPr>
          <w:sz w:val="24"/>
        </w:rPr>
      </w:r>
    </w:p>
    <w:p>
      <w:pPr>
        <w:pStyle w:val="0"/>
        <w:ind w:firstLine="540"/>
        <w:jc w:val="both"/>
      </w:pPr>
      <w:r>
        <w:rPr>
          <w:sz w:val="24"/>
        </w:rPr>
        <w:t xml:space="preserve">- данные, получаемые территориальными организациями Роспотребнадзора, в том числе, при проведении социально-гигиенического мониторинга и Федеральной службой по гидрометеорологии и мониторингу окружающей среды;</w:t>
      </w:r>
    </w:p>
    <w:p>
      <w:pPr>
        <w:pStyle w:val="0"/>
        <w:spacing w:before="240" w:lineRule="auto"/>
        <w:ind w:firstLine="540"/>
        <w:jc w:val="both"/>
      </w:pPr>
      <w:r>
        <w:rPr>
          <w:sz w:val="24"/>
        </w:rPr>
        <w:t xml:space="preserve">- данные, получаемые межрегиональными центрами Роспотребнадзора по оказанию организационной, методической и практической помощи по вопросам обеспечения радиационной безопасности населения &lt;14&gt; (далее - МРЦ РБ) на договорной основе.</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&lt;14&gt; </w:t>
      </w:r>
      <w:hyperlink w:history="0" r:id="rId26" w:tooltip="Приказ Роспотребнадзора от 09.01.2007 N 1 &quot;О создании межрегиональных центров по вопросам радиационной безопасности&quot; ------------ Утратил силу или отменен {КонсультантПлюс}">
        <w:r>
          <w:rPr>
            <w:sz w:val="24"/>
            <w:color w:val="0000ff"/>
          </w:rPr>
          <w:t xml:space="preserve">Приказ</w:t>
        </w:r>
      </w:hyperlink>
      <w:r>
        <w:rPr>
          <w:sz w:val="24"/>
        </w:rPr>
        <w:t xml:space="preserve"> Роспотребнадзора от 09.01.2007 N 1 "О создании межрегиональных центров по вопросам радиационной безопасности"; </w:t>
      </w:r>
      <w:hyperlink w:history="0" r:id="rId27" w:tooltip="Приказ Роспотребнадзора от 21.01.2011 N 14 &quot;О реорганизации межрегиональных центров по вопросам радиационной безопасности&quot; {КонсультантПлюс}">
        <w:r>
          <w:rPr>
            <w:sz w:val="24"/>
            <w:color w:val="0000ff"/>
          </w:rPr>
          <w:t xml:space="preserve">приказ</w:t>
        </w:r>
      </w:hyperlink>
      <w:r>
        <w:rPr>
          <w:sz w:val="24"/>
        </w:rPr>
        <w:t xml:space="preserve"> Роспотребнадзора от 21.01.2011 N 14 "О реорганизации межрегиональных центров по вопросам радиационной безопасности".</w:t>
      </w:r>
    </w:p>
    <w:p>
      <w:pPr>
        <w:pStyle w:val="0"/>
        <w:jc w:val="both"/>
      </w:pPr>
      <w:r>
        <w:rPr>
          <w:sz w:val="24"/>
        </w:rPr>
      </w:r>
    </w:p>
    <w:p>
      <w:pPr>
        <w:pStyle w:val="0"/>
        <w:ind w:firstLine="540"/>
        <w:jc w:val="both"/>
      </w:pPr>
      <w:r>
        <w:rPr>
          <w:sz w:val="24"/>
        </w:rPr>
        <w:t xml:space="preserve">3.8. РГПТ заполняется в целом по субъекту Российской Федерации. Если на территории субъекта Российской Федерации имеются населенные пункты или районы, подвергшиеся радиоактивному загрязнению в результате прошлых радиационных аварий, в которых средняя годовая эффективная доза техногенного облучения населения превышает 1,0 мЗв/год, то для них заполняются отдельные РГПТ загрязненных территорий, которые представляются вместе с РГПТ субъекта Российской Федерации.</w:t>
      </w:r>
    </w:p>
    <w:p>
      <w:pPr>
        <w:pStyle w:val="0"/>
        <w:spacing w:before="240" w:lineRule="auto"/>
        <w:ind w:firstLine="540"/>
        <w:jc w:val="both"/>
      </w:pPr>
      <w:r>
        <w:rPr>
          <w:sz w:val="24"/>
        </w:rPr>
        <w:t xml:space="preserve">3.9. Для заполнения РГПТ могут использоваться следующие компьютерные программы (далее - программное обеспечение) &lt;15&gt;: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&lt;15&gt; Примечание: указанное программное обеспечение позволяет заполнять РГПТ и формировать стандартный файл передачи для представления в управления Роспотребнадзора по субъекту Российской Федерации и Федеральную службу по надзору в сфере защиты прав потребителей и благополучия человека. Программное обеспечение и электронные копии формы РГПТ размещены на официальном сайте ФБУН "Санкт-Петербургский научно-исследовательский институт радиационной гигиены имени профессора П.В. Рамзаева" Роспотребнадзора: www.niirg.ru/SoftWare.htm (в свободном доступе).</w:t>
      </w:r>
    </w:p>
    <w:p>
      <w:pPr>
        <w:pStyle w:val="0"/>
        <w:jc w:val="both"/>
      </w:pPr>
      <w:r>
        <w:rPr>
          <w:sz w:val="24"/>
        </w:rPr>
      </w:r>
    </w:p>
    <w:p>
      <w:pPr>
        <w:pStyle w:val="0"/>
        <w:ind w:firstLine="540"/>
        <w:jc w:val="both"/>
      </w:pPr>
      <w:r>
        <w:rPr>
          <w:sz w:val="24"/>
        </w:rPr>
        <w:t xml:space="preserve">- РГП-Ст, предназначена для управлений Роспотребнадзора и Администраций субъектов Российской Федерации и позволяет работать с РГПТ отдельных территорий;</w:t>
      </w:r>
    </w:p>
    <w:p>
      <w:pPr>
        <w:pStyle w:val="0"/>
        <w:spacing w:before="240" w:lineRule="auto"/>
        <w:ind w:firstLine="540"/>
        <w:jc w:val="both"/>
      </w:pPr>
      <w:r>
        <w:rPr>
          <w:sz w:val="24"/>
        </w:rPr>
        <w:t xml:space="preserve">- РБД-РГП, предназначена для управлений Роспотребнадзора субъектов Российской Федерации и позволяет заполнять РГПТ и формировать региональный банк данных по РГПТ.</w:t>
      </w:r>
    </w:p>
    <w:p>
      <w:pPr>
        <w:pStyle w:val="0"/>
        <w:spacing w:before="240" w:lineRule="auto"/>
        <w:ind w:firstLine="540"/>
        <w:jc w:val="both"/>
      </w:pPr>
      <w:r>
        <w:rPr>
          <w:sz w:val="24"/>
        </w:rPr>
        <w:t xml:space="preserve">Форма РГПТ приведена в </w:t>
      </w:r>
      <w:hyperlink w:history="0" w:anchor="P1084" w:tooltip="ФОРМА РАДИАЦИОННО-ГИГИЕНИЧЕСКОГО ПАСПОРТА ТЕРРИТОРИИ">
        <w:r>
          <w:rPr>
            <w:sz w:val="24"/>
            <w:color w:val="0000ff"/>
          </w:rPr>
          <w:t xml:space="preserve">приложении 3</w:t>
        </w:r>
      </w:hyperlink>
      <w:r>
        <w:rPr>
          <w:sz w:val="24"/>
        </w:rPr>
        <w:t xml:space="preserve"> к настоящим МР.</w:t>
      </w:r>
    </w:p>
    <w:p>
      <w:pPr>
        <w:pStyle w:val="0"/>
        <w:spacing w:before="240" w:lineRule="auto"/>
        <w:ind w:firstLine="540"/>
        <w:jc w:val="both"/>
      </w:pPr>
      <w:r>
        <w:rPr>
          <w:sz w:val="24"/>
        </w:rPr>
        <w:t xml:space="preserve">Инструкция по заполнению РГПТ приведена в </w:t>
      </w:r>
      <w:hyperlink w:history="0" w:anchor="P2174" w:tooltip="ИНСТРУКЦИЯ">
        <w:r>
          <w:rPr>
            <w:sz w:val="24"/>
            <w:color w:val="0000ff"/>
          </w:rPr>
          <w:t xml:space="preserve">приложении 4</w:t>
        </w:r>
      </w:hyperlink>
      <w:r>
        <w:rPr>
          <w:sz w:val="24"/>
        </w:rPr>
        <w:t xml:space="preserve"> к настоящим МР.</w:t>
      </w:r>
    </w:p>
    <w:p>
      <w:pPr>
        <w:pStyle w:val="0"/>
        <w:spacing w:before="240" w:lineRule="auto"/>
        <w:ind w:firstLine="540"/>
        <w:jc w:val="both"/>
      </w:pPr>
      <w:r>
        <w:rPr>
          <w:sz w:val="24"/>
        </w:rPr>
        <w:t xml:space="preserve">3.10. Для получения заключения администрация субъекта Российской Федерации представляет РГПТ в управление Роспотребнадзора по субъекту Российской Федерации &lt;16&gt; на электронном носителе и на бумажном носителе.</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&lt;16&gt; </w:t>
      </w:r>
      <w:hyperlink w:history="0" r:id="rId28" w:tooltip="Постановление Правительства РФ от 28.01.1997 N 93 (ред. от 10.07.2014) &quot;О Порядке разработки радиационно-гигиенических паспортов организаций и территорий&quot; {КонсультантПлюс}">
        <w:r>
          <w:rPr>
            <w:sz w:val="24"/>
            <w:color w:val="0000ff"/>
          </w:rPr>
          <w:t xml:space="preserve">Пункт 9</w:t>
        </w:r>
      </w:hyperlink>
      <w:r>
        <w:rPr>
          <w:sz w:val="24"/>
        </w:rPr>
        <w:t xml:space="preserve"> Постановления Правительства Российской Федерации от 28.01.1997 N 93 "О порядке разработки радиационно-гигиенических паспортов организаций и территорий".</w:t>
      </w:r>
    </w:p>
    <w:p>
      <w:pPr>
        <w:pStyle w:val="0"/>
        <w:jc w:val="both"/>
      </w:pPr>
      <w:r>
        <w:rPr>
          <w:sz w:val="24"/>
        </w:rPr>
      </w:r>
    </w:p>
    <w:p>
      <w:pPr>
        <w:pStyle w:val="0"/>
        <w:ind w:firstLine="540"/>
        <w:jc w:val="both"/>
      </w:pPr>
      <w:r>
        <w:rPr>
          <w:sz w:val="24"/>
        </w:rPr>
        <w:t xml:space="preserve">РГПТ вместе с заключением направляется в Федеральную службу по надзору в сфере защиты прав потребителей и благополучия человека на электронном носителе и на бумажном носителе не позднее 1 июня года, следующего за отчетным.</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Приложение 1</w:t>
      </w:r>
    </w:p>
    <w:p>
      <w:pPr>
        <w:pStyle w:val="0"/>
        <w:jc w:val="right"/>
      </w:pPr>
      <w:r>
        <w:rPr>
          <w:sz w:val="24"/>
        </w:rPr>
        <w:t xml:space="preserve">к МР 2.6.1.0257-21</w:t>
      </w:r>
    </w:p>
    <w:p>
      <w:pPr>
        <w:pStyle w:val="0"/>
        <w:jc w:val="both"/>
      </w:pPr>
      <w:r>
        <w:rPr>
          <w:sz w:val="24"/>
        </w:rPr>
      </w:r>
    </w:p>
    <w:bookmarkStart w:id="136" w:name="P136"/>
    <w:bookmarkEnd w:id="136"/>
    <w:p>
      <w:pPr>
        <w:pStyle w:val="0"/>
        <w:jc w:val="center"/>
      </w:pPr>
      <w:r>
        <w:rPr>
          <w:sz w:val="24"/>
        </w:rPr>
        <w:t xml:space="preserve">ФОРМА РАДИАЦИОННО-ГИГИЕНИЧЕСКОГО ПАСПОРТА</w:t>
      </w:r>
    </w:p>
    <w:p>
      <w:pPr>
        <w:pStyle w:val="0"/>
        <w:jc w:val="center"/>
      </w:pPr>
      <w:r>
        <w:rPr>
          <w:sz w:val="24"/>
        </w:rPr>
        <w:t xml:space="preserve">ОРГАНИЗАЦИИ, ОСУЩЕСТВЛЯЮЩЕЙ ОБРАЩЕНИЕ С ТЕХНОГЕННЫМИ</w:t>
      </w:r>
    </w:p>
    <w:p>
      <w:pPr>
        <w:pStyle w:val="0"/>
        <w:jc w:val="center"/>
      </w:pPr>
      <w:r>
        <w:rPr>
          <w:sz w:val="24"/>
        </w:rPr>
        <w:t xml:space="preserve">ИСТОЧНИКАМИ ИОНИЗИРУЮЩЕГО ИЗЛУЧЕНИЯ</w:t>
      </w:r>
    </w:p>
    <w:p>
      <w:pPr>
        <w:pStyle w:val="0"/>
        <w:jc w:val="both"/>
      </w:pPr>
      <w:r>
        <w:rPr>
          <w:sz w:val="24"/>
        </w:rPr>
      </w:r>
    </w:p>
    <w:tbl>
      <w:tblPr>
        <w:tblInd w:w="0" w:type="dxa"/>
        <w:tblLayout w:type="fixed"/>
        <w:tblBorders>
          <w:bottom w:val="single" w:sz="4"/>
        </w:tblBorders>
        <w:tblCellMar>
          <w:top w:w="102" w:type="dxa"/>
          <w:left w:w="62" w:type="dxa"/>
          <w:bottom w:w="102" w:type="dxa"/>
          <w:right w:w="62" w:type="dxa"/>
        </w:tblCellMar>
      </w:tblPr>
      <w:tblGrid>
        <w:gridCol w:w="9071"/>
      </w:tblGrid>
      <w:tr>
        <w:tc>
          <w:tcPr>
            <w:tcW w:w="9071" w:type="dxa"/>
            <w:tcBorders>
              <w:top w:val="nil"/>
              <w:left w:val="nil"/>
              <w:bottom w:val="single" w:sz="4"/>
              <w:right w:val="nil"/>
            </w:tcBorders>
          </w:tcPr>
          <w:p>
            <w:pPr>
              <w:pStyle w:val="0"/>
              <w:jc w:val="center"/>
            </w:pPr>
            <w:r>
              <w:rPr>
                <w:sz w:val="24"/>
              </w:rPr>
              <w:t xml:space="preserve">Радиационно-гигиенический паспорт</w:t>
            </w:r>
          </w:p>
          <w:p>
            <w:pPr>
              <w:pStyle w:val="0"/>
              <w:jc w:val="center"/>
            </w:pPr>
            <w:r>
              <w:rPr>
                <w:sz w:val="24"/>
              </w:rPr>
              <w:t xml:space="preserve">организации (юридических лиц и индивидуальных предпринимателей), осуществляющей обращение с техногенными источниками ионизирующего излучения, по состоянию за 20 __ год</w:t>
            </w:r>
          </w:p>
          <w:p>
            <w:pPr>
              <w:pStyle w:val="0"/>
              <w:jc w:val="center"/>
            </w:pPr>
            <w:r>
              <w:rPr>
                <w:sz w:val="24"/>
              </w:rPr>
              <w:t xml:space="preserve">(Радиационно-гигиенический паспорт организации)</w:t>
            </w:r>
          </w:p>
        </w:tc>
      </w:tr>
    </w:tbl>
    <w:p>
      <w:pPr>
        <w:pStyle w:val="0"/>
        <w:jc w:val="both"/>
      </w:pPr>
      <w:r>
        <w:rPr>
          <w:sz w:val="24"/>
        </w:rPr>
      </w:r>
    </w:p>
    <w:tbl>
      <w:tblPr>
        <w:tblInd w:w="0" w:type="dxa"/>
        <w:tblLayout w:type="fixed"/>
        <w:tblBorders>
          <w:insideH w:val="single" w:sz="4"/>
        </w:tblBorders>
        <w:tblCellMar>
          <w:top w:w="102" w:type="dxa"/>
          <w:left w:w="62" w:type="dxa"/>
          <w:bottom w:w="102" w:type="dxa"/>
          <w:right w:w="62" w:type="dxa"/>
        </w:tblCellMar>
      </w:tblPr>
      <w:tblGrid>
        <w:gridCol w:w="3005"/>
        <w:gridCol w:w="1956"/>
        <w:gridCol w:w="4082"/>
      </w:tblGrid>
      <w:tr>
        <w:tblPrEx>
          <w:tblBorders>
            <w:insideH w:val="nil"/>
          </w:tblBorders>
        </w:tblPrEx>
        <w:tc>
          <w:tcPr>
            <w:gridSpan w:val="2"/>
            <w:tcW w:w="4961" w:type="dxa"/>
            <w:tcBorders>
              <w:top w:val="nil"/>
              <w:left w:val="nil"/>
              <w:bottom w:val="nil"/>
              <w:right w:val="nil"/>
            </w:tcBorders>
          </w:tcPr>
          <w:p>
            <w:pPr>
              <w:pStyle w:val="0"/>
              <w:jc w:val="both"/>
            </w:pPr>
            <w:r>
              <w:rPr>
                <w:sz w:val="24"/>
              </w:rPr>
              <w:t xml:space="preserve">Наименование организации (предприятия):</w:t>
            </w:r>
          </w:p>
        </w:tc>
        <w:tc>
          <w:tcPr>
            <w:tcW w:w="4082" w:type="dxa"/>
            <w:tcBorders>
              <w:top w:val="nil"/>
              <w:left w:val="nil"/>
              <w:right w:val="nil"/>
            </w:tcBorders>
          </w:tcPr>
          <w:p>
            <w:pPr>
              <w:pStyle w:val="0"/>
            </w:pPr>
            <w:r>
              <w:rPr>
                <w:sz w:val="24"/>
              </w:rPr>
            </w:r>
          </w:p>
        </w:tc>
      </w:tr>
      <w:tr>
        <w:tblPrEx>
          <w:tblBorders>
            <w:insideH w:val="nil"/>
          </w:tblBorders>
        </w:tblPrEx>
        <w:tc>
          <w:tcPr>
            <w:gridSpan w:val="3"/>
            <w:tcW w:w="9043" w:type="dxa"/>
            <w:tcBorders>
              <w:top w:val="nil"/>
              <w:left w:val="nil"/>
              <w:right w:val="nil"/>
            </w:tcBorders>
          </w:tcPr>
          <w:p>
            <w:pPr>
              <w:pStyle w:val="0"/>
            </w:pPr>
            <w:r>
              <w:rPr>
                <w:sz w:val="24"/>
              </w:rPr>
            </w:r>
          </w:p>
        </w:tc>
      </w:tr>
      <w:tr>
        <w:tc>
          <w:tcPr>
            <w:gridSpan w:val="3"/>
            <w:tcW w:w="9043" w:type="dxa"/>
            <w:tcBorders>
              <w:left w:val="nil"/>
              <w:right w:val="nil"/>
            </w:tcBorders>
          </w:tcPr>
          <w:p>
            <w:pPr>
              <w:pStyle w:val="0"/>
            </w:pPr>
            <w:r>
              <w:rPr>
                <w:sz w:val="24"/>
              </w:rPr>
            </w:r>
          </w:p>
        </w:tc>
      </w:tr>
      <w:tr>
        <w:tc>
          <w:tcPr>
            <w:tcW w:w="3005" w:type="dxa"/>
            <w:tcBorders>
              <w:left w:val="nil"/>
              <w:bottom w:val="nil"/>
              <w:right w:val="nil"/>
            </w:tcBorders>
          </w:tcPr>
          <w:p>
            <w:pPr>
              <w:pStyle w:val="0"/>
              <w:jc w:val="both"/>
            </w:pPr>
            <w:r>
              <w:rPr>
                <w:sz w:val="24"/>
              </w:rPr>
              <w:t xml:space="preserve">Краткое наименование:</w:t>
            </w:r>
          </w:p>
        </w:tc>
        <w:tc>
          <w:tcPr>
            <w:gridSpan w:val="2"/>
            <w:tcW w:w="6038" w:type="dxa"/>
            <w:tcBorders>
              <w:left w:val="nil"/>
              <w:right w:val="nil"/>
            </w:tcBorders>
          </w:tcPr>
          <w:p>
            <w:pPr>
              <w:pStyle w:val="0"/>
            </w:pPr>
            <w:r>
              <w:rPr>
                <w:sz w:val="24"/>
              </w:rPr>
            </w:r>
          </w:p>
        </w:tc>
      </w:tr>
      <w:tr>
        <w:tblPrEx>
          <w:tblBorders>
            <w:insideH w:val="nil"/>
          </w:tblBorders>
        </w:tblPrEx>
        <w:tc>
          <w:tcPr>
            <w:gridSpan w:val="3"/>
            <w:tcW w:w="9043" w:type="dxa"/>
            <w:tcBorders>
              <w:top w:val="nil"/>
              <w:left w:val="nil"/>
              <w:bottom w:val="nil"/>
              <w:right w:val="nil"/>
            </w:tcBorders>
          </w:tcPr>
          <w:p>
            <w:pPr>
              <w:pStyle w:val="0"/>
              <w:jc w:val="both"/>
            </w:pPr>
            <w:r>
              <w:rPr>
                <w:sz w:val="24"/>
              </w:rPr>
              <w:t xml:space="preserve">Вид организации (атомные электростанции; геологоразведочные и добывающие; медучреждения; научные и учебные; промышленные; таможенные; пункты захоронения РАО; прочие особо радиационно-опасные; прочие): ____________</w:t>
            </w:r>
          </w:p>
        </w:tc>
      </w:tr>
    </w:tbl>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2267"/>
        <w:gridCol w:w="2267"/>
        <w:gridCol w:w="2267"/>
        <w:gridCol w:w="2268"/>
      </w:tblGrid>
      <w:tr>
        <w:tc>
          <w:tcPr>
            <w:tcW w:w="2267" w:type="dxa"/>
          </w:tcPr>
          <w:p>
            <w:pPr>
              <w:pStyle w:val="0"/>
              <w:jc w:val="center"/>
            </w:pPr>
            <w:r>
              <w:rPr>
                <w:sz w:val="24"/>
              </w:rPr>
              <w:t xml:space="preserve">ИНН</w:t>
            </w:r>
          </w:p>
        </w:tc>
        <w:tc>
          <w:tcPr>
            <w:tcW w:w="2267" w:type="dxa"/>
          </w:tcPr>
          <w:p>
            <w:pPr>
              <w:pStyle w:val="0"/>
              <w:jc w:val="center"/>
            </w:pPr>
            <w:r>
              <w:rPr>
                <w:sz w:val="24"/>
              </w:rPr>
              <w:t xml:space="preserve">ОКПО</w:t>
            </w:r>
          </w:p>
        </w:tc>
        <w:tc>
          <w:tcPr>
            <w:tcW w:w="2267" w:type="dxa"/>
          </w:tcPr>
          <w:p>
            <w:pPr>
              <w:pStyle w:val="0"/>
              <w:jc w:val="center"/>
            </w:pPr>
            <w:hyperlink w:history="0" r:id="rId29"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4"/>
                  <w:color w:val="0000ff"/>
                </w:rPr>
                <w:t xml:space="preserve">ОКВЭД</w:t>
              </w:r>
            </w:hyperlink>
          </w:p>
        </w:tc>
        <w:tc>
          <w:tcPr>
            <w:tcW w:w="2268" w:type="dxa"/>
          </w:tcPr>
          <w:p>
            <w:pPr>
              <w:pStyle w:val="0"/>
              <w:jc w:val="center"/>
            </w:pPr>
            <w:r>
              <w:rPr>
                <w:sz w:val="24"/>
              </w:rPr>
              <w:t xml:space="preserve">ОГРН</w:t>
            </w:r>
          </w:p>
        </w:tc>
      </w:tr>
      <w:tr>
        <w:tc>
          <w:tcPr>
            <w:tcW w:w="2267" w:type="dxa"/>
          </w:tcPr>
          <w:p>
            <w:pPr>
              <w:pStyle w:val="0"/>
            </w:pPr>
            <w:r>
              <w:rPr>
                <w:sz w:val="24"/>
              </w:rPr>
            </w:r>
          </w:p>
        </w:tc>
        <w:tc>
          <w:tcPr>
            <w:tcW w:w="2267" w:type="dxa"/>
          </w:tcPr>
          <w:p>
            <w:pPr>
              <w:pStyle w:val="0"/>
            </w:pPr>
            <w:r>
              <w:rPr>
                <w:sz w:val="24"/>
              </w:rPr>
            </w:r>
          </w:p>
        </w:tc>
        <w:tc>
          <w:tcPr>
            <w:tcW w:w="2267" w:type="dxa"/>
          </w:tcPr>
          <w:p>
            <w:pPr>
              <w:pStyle w:val="0"/>
            </w:pPr>
            <w:r>
              <w:rPr>
                <w:sz w:val="24"/>
              </w:rPr>
            </w:r>
          </w:p>
        </w:tc>
        <w:tc>
          <w:tcPr>
            <w:tcW w:w="2268" w:type="dxa"/>
          </w:tcPr>
          <w:p>
            <w:pPr>
              <w:pStyle w:val="0"/>
            </w:pPr>
            <w:r>
              <w:rPr>
                <w:sz w:val="24"/>
              </w:rPr>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340"/>
        <w:gridCol w:w="567"/>
        <w:gridCol w:w="1361"/>
        <w:gridCol w:w="624"/>
        <w:gridCol w:w="339"/>
        <w:gridCol w:w="2381"/>
        <w:gridCol w:w="340"/>
        <w:gridCol w:w="1814"/>
        <w:gridCol w:w="340"/>
        <w:gridCol w:w="285"/>
        <w:gridCol w:w="680"/>
      </w:tblGrid>
      <w:tr>
        <w:tc>
          <w:tcPr>
            <w:gridSpan w:val="2"/>
            <w:tcW w:w="907" w:type="dxa"/>
            <w:tcBorders>
              <w:top w:val="nil"/>
              <w:left w:val="nil"/>
              <w:bottom w:val="nil"/>
              <w:right w:val="nil"/>
            </w:tcBorders>
          </w:tcPr>
          <w:p>
            <w:pPr>
              <w:pStyle w:val="0"/>
            </w:pPr>
            <w:r>
              <w:rPr>
                <w:sz w:val="24"/>
              </w:rPr>
              <w:t xml:space="preserve">Адрес:</w:t>
            </w:r>
          </w:p>
        </w:tc>
        <w:tc>
          <w:tcPr>
            <w:tcW w:w="1361" w:type="dxa"/>
            <w:tcBorders>
              <w:top w:val="nil"/>
              <w:left w:val="nil"/>
              <w:bottom w:val="single" w:sz="4"/>
              <w:right w:val="nil"/>
            </w:tcBorders>
          </w:tcPr>
          <w:p>
            <w:pPr>
              <w:pStyle w:val="0"/>
            </w:pPr>
            <w:r>
              <w:rPr>
                <w:sz w:val="24"/>
              </w:rPr>
            </w:r>
          </w:p>
        </w:tc>
        <w:tc>
          <w:tcPr>
            <w:gridSpan w:val="8"/>
            <w:tcW w:w="6803" w:type="dxa"/>
            <w:tcBorders>
              <w:top w:val="nil"/>
              <w:left w:val="nil"/>
              <w:bottom w:val="nil"/>
              <w:right w:val="nil"/>
            </w:tcBorders>
          </w:tcPr>
          <w:p>
            <w:pPr>
              <w:pStyle w:val="0"/>
            </w:pPr>
            <w:r>
              <w:rPr>
                <w:sz w:val="24"/>
              </w:rPr>
            </w:r>
          </w:p>
        </w:tc>
      </w:tr>
      <w:tr>
        <w:tc>
          <w:tcPr>
            <w:gridSpan w:val="2"/>
            <w:tcW w:w="907" w:type="dxa"/>
            <w:tcBorders>
              <w:top w:val="nil"/>
              <w:left w:val="nil"/>
              <w:bottom w:val="nil"/>
              <w:right w:val="nil"/>
            </w:tcBorders>
          </w:tcPr>
          <w:p>
            <w:pPr>
              <w:pStyle w:val="0"/>
            </w:pPr>
            <w:r>
              <w:rPr>
                <w:sz w:val="24"/>
              </w:rPr>
            </w:r>
          </w:p>
        </w:tc>
        <w:tc>
          <w:tcPr>
            <w:tcW w:w="1361" w:type="dxa"/>
            <w:tcBorders>
              <w:top w:val="single" w:sz="4"/>
              <w:left w:val="nil"/>
              <w:bottom w:val="nil"/>
              <w:right w:val="nil"/>
            </w:tcBorders>
          </w:tcPr>
          <w:p>
            <w:pPr>
              <w:pStyle w:val="0"/>
              <w:jc w:val="center"/>
            </w:pPr>
            <w:r>
              <w:rPr>
                <w:sz w:val="24"/>
              </w:rPr>
              <w:t xml:space="preserve">(Почтовый код)</w:t>
            </w:r>
          </w:p>
        </w:tc>
        <w:tc>
          <w:tcPr>
            <w:tcW w:w="624" w:type="dxa"/>
            <w:tcBorders>
              <w:top w:val="nil"/>
              <w:left w:val="nil"/>
              <w:bottom w:val="nil"/>
              <w:right w:val="nil"/>
            </w:tcBorders>
          </w:tcPr>
          <w:p>
            <w:pPr>
              <w:pStyle w:val="0"/>
            </w:pPr>
            <w:r>
              <w:rPr>
                <w:sz w:val="24"/>
              </w:rPr>
            </w:r>
          </w:p>
        </w:tc>
        <w:tc>
          <w:tcPr>
            <w:gridSpan w:val="6"/>
            <w:tcW w:w="5499" w:type="dxa"/>
            <w:tcBorders>
              <w:top w:val="single" w:sz="4"/>
              <w:left w:val="nil"/>
              <w:bottom w:val="nil"/>
              <w:right w:val="nil"/>
            </w:tcBorders>
          </w:tcPr>
          <w:p>
            <w:pPr>
              <w:pStyle w:val="0"/>
              <w:jc w:val="center"/>
            </w:pPr>
            <w:r>
              <w:rPr>
                <w:sz w:val="24"/>
              </w:rPr>
              <w:t xml:space="preserve">(Наименование субъекта Российской Федерации)</w:t>
            </w:r>
          </w:p>
        </w:tc>
        <w:tc>
          <w:tcPr>
            <w:tcW w:w="680" w:type="dxa"/>
            <w:tcBorders>
              <w:top w:val="nil"/>
              <w:left w:val="nil"/>
              <w:bottom w:val="nil"/>
              <w:right w:val="nil"/>
            </w:tcBorders>
          </w:tcPr>
          <w:p>
            <w:pPr>
              <w:pStyle w:val="0"/>
            </w:pPr>
            <w:r>
              <w:rPr>
                <w:sz w:val="24"/>
              </w:rPr>
            </w:r>
          </w:p>
        </w:tc>
      </w:tr>
      <w:tr>
        <w:tc>
          <w:tcPr>
            <w:tcW w:w="340" w:type="dxa"/>
            <w:tcBorders>
              <w:top w:val="nil"/>
              <w:left w:val="nil"/>
              <w:bottom w:val="nil"/>
              <w:right w:val="nil"/>
            </w:tcBorders>
          </w:tcPr>
          <w:p>
            <w:pPr>
              <w:pStyle w:val="0"/>
            </w:pPr>
            <w:r>
              <w:rPr>
                <w:sz w:val="24"/>
              </w:rPr>
            </w:r>
          </w:p>
        </w:tc>
        <w:tc>
          <w:tcPr>
            <w:gridSpan w:val="3"/>
            <w:tcW w:w="2552" w:type="dxa"/>
            <w:tcBorders>
              <w:top w:val="nil"/>
              <w:left w:val="nil"/>
              <w:bottom w:val="single" w:sz="4"/>
              <w:right w:val="nil"/>
            </w:tcBorders>
          </w:tcPr>
          <w:p>
            <w:pPr>
              <w:pStyle w:val="0"/>
            </w:pPr>
            <w:r>
              <w:rPr>
                <w:sz w:val="24"/>
              </w:rPr>
            </w:r>
          </w:p>
        </w:tc>
        <w:tc>
          <w:tcPr>
            <w:tcW w:w="339" w:type="dxa"/>
            <w:tcBorders>
              <w:top w:val="nil"/>
              <w:left w:val="nil"/>
              <w:bottom w:val="nil"/>
              <w:right w:val="nil"/>
            </w:tcBorders>
          </w:tcPr>
          <w:p>
            <w:pPr>
              <w:pStyle w:val="0"/>
            </w:pPr>
            <w:r>
              <w:rPr>
                <w:sz w:val="24"/>
              </w:rPr>
            </w:r>
          </w:p>
        </w:tc>
        <w:tc>
          <w:tcPr>
            <w:tcW w:w="2381" w:type="dxa"/>
            <w:tcBorders>
              <w:top w:val="nil"/>
              <w:left w:val="nil"/>
              <w:bottom w:val="single" w:sz="4"/>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1814" w:type="dxa"/>
            <w:tcBorders>
              <w:top w:val="nil"/>
              <w:left w:val="nil"/>
              <w:bottom w:val="single" w:sz="4"/>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gridSpan w:val="2"/>
            <w:tcW w:w="965" w:type="dxa"/>
            <w:tcBorders>
              <w:top w:val="nil"/>
              <w:left w:val="nil"/>
              <w:bottom w:val="single" w:sz="4"/>
              <w:right w:val="nil"/>
            </w:tcBorders>
          </w:tcPr>
          <w:p>
            <w:pPr>
              <w:pStyle w:val="0"/>
            </w:pPr>
            <w:r>
              <w:rPr>
                <w:sz w:val="24"/>
              </w:rPr>
            </w:r>
          </w:p>
        </w:tc>
      </w:tr>
      <w:tr>
        <w:tc>
          <w:tcPr>
            <w:tcW w:w="340" w:type="dxa"/>
            <w:tcBorders>
              <w:top w:val="nil"/>
              <w:left w:val="nil"/>
              <w:bottom w:val="nil"/>
              <w:right w:val="nil"/>
            </w:tcBorders>
          </w:tcPr>
          <w:p>
            <w:pPr>
              <w:pStyle w:val="0"/>
            </w:pPr>
            <w:r>
              <w:rPr>
                <w:sz w:val="24"/>
              </w:rPr>
            </w:r>
          </w:p>
        </w:tc>
        <w:tc>
          <w:tcPr>
            <w:gridSpan w:val="3"/>
            <w:tcW w:w="2552" w:type="dxa"/>
            <w:tcBorders>
              <w:top w:val="single" w:sz="4"/>
              <w:left w:val="nil"/>
              <w:bottom w:val="nil"/>
              <w:right w:val="nil"/>
            </w:tcBorders>
          </w:tcPr>
          <w:p>
            <w:pPr>
              <w:pStyle w:val="0"/>
              <w:jc w:val="center"/>
            </w:pPr>
            <w:r>
              <w:rPr>
                <w:sz w:val="24"/>
              </w:rPr>
              <w:t xml:space="preserve">(Наименование района)</w:t>
            </w:r>
          </w:p>
        </w:tc>
        <w:tc>
          <w:tcPr>
            <w:tcW w:w="339" w:type="dxa"/>
            <w:tcBorders>
              <w:top w:val="nil"/>
              <w:left w:val="nil"/>
              <w:bottom w:val="nil"/>
              <w:right w:val="nil"/>
            </w:tcBorders>
          </w:tcPr>
          <w:p>
            <w:pPr>
              <w:pStyle w:val="0"/>
            </w:pPr>
            <w:r>
              <w:rPr>
                <w:sz w:val="24"/>
              </w:rPr>
            </w:r>
          </w:p>
        </w:tc>
        <w:tc>
          <w:tcPr>
            <w:tcW w:w="2381" w:type="dxa"/>
            <w:tcBorders>
              <w:top w:val="single" w:sz="4"/>
              <w:left w:val="nil"/>
              <w:bottom w:val="nil"/>
              <w:right w:val="nil"/>
            </w:tcBorders>
          </w:tcPr>
          <w:p>
            <w:pPr>
              <w:pStyle w:val="0"/>
              <w:jc w:val="center"/>
            </w:pPr>
            <w:r>
              <w:rPr>
                <w:sz w:val="24"/>
              </w:rPr>
              <w:t xml:space="preserve">(Наименование населенного пункта)</w:t>
            </w:r>
          </w:p>
        </w:tc>
        <w:tc>
          <w:tcPr>
            <w:tcW w:w="340" w:type="dxa"/>
            <w:tcBorders>
              <w:top w:val="nil"/>
              <w:left w:val="nil"/>
              <w:bottom w:val="nil"/>
              <w:right w:val="nil"/>
            </w:tcBorders>
          </w:tcPr>
          <w:p>
            <w:pPr>
              <w:pStyle w:val="0"/>
            </w:pPr>
            <w:r>
              <w:rPr>
                <w:sz w:val="24"/>
              </w:rPr>
            </w:r>
          </w:p>
        </w:tc>
        <w:tc>
          <w:tcPr>
            <w:tcW w:w="1814" w:type="dxa"/>
            <w:tcBorders>
              <w:top w:val="single" w:sz="4"/>
              <w:left w:val="nil"/>
              <w:bottom w:val="nil"/>
              <w:right w:val="nil"/>
            </w:tcBorders>
          </w:tcPr>
          <w:p>
            <w:pPr>
              <w:pStyle w:val="0"/>
              <w:jc w:val="center"/>
            </w:pPr>
            <w:r>
              <w:rPr>
                <w:sz w:val="24"/>
              </w:rPr>
              <w:t xml:space="preserve">(Наименование улицы)</w:t>
            </w:r>
          </w:p>
        </w:tc>
        <w:tc>
          <w:tcPr>
            <w:tcW w:w="340" w:type="dxa"/>
            <w:tcBorders>
              <w:top w:val="nil"/>
              <w:left w:val="nil"/>
              <w:bottom w:val="nil"/>
              <w:right w:val="nil"/>
            </w:tcBorders>
          </w:tcPr>
          <w:p>
            <w:pPr>
              <w:pStyle w:val="0"/>
            </w:pPr>
            <w:r>
              <w:rPr>
                <w:sz w:val="24"/>
              </w:rPr>
            </w:r>
          </w:p>
        </w:tc>
        <w:tc>
          <w:tcPr>
            <w:gridSpan w:val="2"/>
            <w:tcW w:w="965" w:type="dxa"/>
            <w:tcBorders>
              <w:top w:val="single" w:sz="4"/>
              <w:left w:val="nil"/>
              <w:bottom w:val="nil"/>
              <w:right w:val="nil"/>
            </w:tcBorders>
          </w:tcPr>
          <w:p>
            <w:pPr>
              <w:pStyle w:val="0"/>
              <w:jc w:val="center"/>
            </w:pPr>
            <w:r>
              <w:rPr>
                <w:sz w:val="24"/>
              </w:rPr>
              <w:t xml:space="preserve">(Номер дома)</w:t>
            </w:r>
          </w:p>
        </w:tc>
      </w:tr>
    </w:tbl>
    <w:p>
      <w:pPr>
        <w:pStyle w:val="0"/>
        <w:jc w:val="both"/>
      </w:pPr>
      <w:r>
        <w:rPr>
          <w:sz w:val="24"/>
        </w:rPr>
      </w:r>
    </w:p>
    <w:tbl>
      <w:tblPr>
        <w:tblInd w:w="0" w:type="dxa"/>
        <w:tblLayout w:type="fixed"/>
        <w:tblBorders>
          <w:insideH w:val="single" w:sz="4"/>
        </w:tblBorders>
        <w:tblCellMar>
          <w:top w:w="102" w:type="dxa"/>
          <w:left w:w="62" w:type="dxa"/>
          <w:bottom w:w="102" w:type="dxa"/>
          <w:right w:w="62" w:type="dxa"/>
        </w:tblCellMar>
      </w:tblPr>
      <w:tblGrid>
        <w:gridCol w:w="2891"/>
        <w:gridCol w:w="737"/>
        <w:gridCol w:w="1134"/>
        <w:gridCol w:w="709"/>
        <w:gridCol w:w="737"/>
        <w:gridCol w:w="992"/>
        <w:gridCol w:w="850"/>
        <w:gridCol w:w="283"/>
        <w:gridCol w:w="737"/>
      </w:tblGrid>
      <w:tr>
        <w:tblPrEx>
          <w:tblBorders>
            <w:insideH w:val="nil"/>
          </w:tblBorders>
        </w:tblPrEx>
        <w:tc>
          <w:tcPr>
            <w:tcW w:w="2891" w:type="dxa"/>
            <w:tcBorders>
              <w:top w:val="nil"/>
              <w:left w:val="nil"/>
              <w:bottom w:val="nil"/>
              <w:right w:val="nil"/>
            </w:tcBorders>
          </w:tcPr>
          <w:p>
            <w:pPr>
              <w:pStyle w:val="0"/>
            </w:pPr>
            <w:r>
              <w:rPr>
                <w:sz w:val="24"/>
              </w:rPr>
              <w:t xml:space="preserve">Телефон администрации:</w:t>
            </w:r>
          </w:p>
        </w:tc>
        <w:tc>
          <w:tcPr>
            <w:gridSpan w:val="2"/>
            <w:tcW w:w="1871" w:type="dxa"/>
            <w:tcBorders>
              <w:top w:val="nil"/>
              <w:left w:val="nil"/>
              <w:right w:val="nil"/>
            </w:tcBorders>
          </w:tcPr>
          <w:p>
            <w:pPr>
              <w:pStyle w:val="0"/>
            </w:pPr>
            <w:r>
              <w:rPr>
                <w:sz w:val="24"/>
              </w:rPr>
            </w:r>
          </w:p>
        </w:tc>
        <w:tc>
          <w:tcPr>
            <w:tcW w:w="709" w:type="dxa"/>
            <w:tcBorders>
              <w:top w:val="nil"/>
              <w:left w:val="nil"/>
              <w:bottom w:val="nil"/>
              <w:right w:val="nil"/>
            </w:tcBorders>
          </w:tcPr>
          <w:p>
            <w:pPr>
              <w:pStyle w:val="0"/>
            </w:pPr>
            <w:r>
              <w:rPr>
                <w:sz w:val="24"/>
              </w:rPr>
              <w:t xml:space="preserve">факс:</w:t>
            </w:r>
          </w:p>
        </w:tc>
        <w:tc>
          <w:tcPr>
            <w:gridSpan w:val="2"/>
            <w:tcW w:w="1729" w:type="dxa"/>
            <w:tcBorders>
              <w:top w:val="nil"/>
              <w:left w:val="nil"/>
              <w:right w:val="nil"/>
            </w:tcBorders>
          </w:tcPr>
          <w:p>
            <w:pPr>
              <w:pStyle w:val="0"/>
            </w:pPr>
            <w:r>
              <w:rPr>
                <w:sz w:val="24"/>
              </w:rPr>
            </w:r>
          </w:p>
        </w:tc>
        <w:tc>
          <w:tcPr>
            <w:tcW w:w="850" w:type="dxa"/>
            <w:tcBorders>
              <w:top w:val="nil"/>
              <w:left w:val="nil"/>
              <w:bottom w:val="nil"/>
              <w:right w:val="nil"/>
            </w:tcBorders>
          </w:tcPr>
          <w:p>
            <w:pPr>
              <w:pStyle w:val="0"/>
              <w:jc w:val="center"/>
            </w:pPr>
            <w:r>
              <w:rPr>
                <w:sz w:val="24"/>
              </w:rPr>
              <w:t xml:space="preserve">E-mail:</w:t>
            </w:r>
          </w:p>
        </w:tc>
        <w:tc>
          <w:tcPr>
            <w:gridSpan w:val="2"/>
            <w:tcW w:w="1020" w:type="dxa"/>
            <w:tcBorders>
              <w:top w:val="nil"/>
              <w:left w:val="nil"/>
              <w:right w:val="nil"/>
            </w:tcBorders>
          </w:tcPr>
          <w:p>
            <w:pPr>
              <w:pStyle w:val="0"/>
            </w:pPr>
            <w:r>
              <w:rPr>
                <w:sz w:val="24"/>
              </w:rPr>
            </w:r>
          </w:p>
        </w:tc>
      </w:tr>
      <w:tr>
        <w:tc>
          <w:tcPr>
            <w:tcW w:w="2891" w:type="dxa"/>
            <w:tcBorders>
              <w:top w:val="nil"/>
              <w:left w:val="nil"/>
              <w:bottom w:val="nil"/>
              <w:right w:val="nil"/>
            </w:tcBorders>
          </w:tcPr>
          <w:p>
            <w:pPr>
              <w:pStyle w:val="0"/>
            </w:pPr>
            <w:r>
              <w:rPr>
                <w:sz w:val="24"/>
              </w:rPr>
            </w:r>
          </w:p>
        </w:tc>
        <w:tc>
          <w:tcPr>
            <w:tcW w:w="737" w:type="dxa"/>
            <w:tcBorders>
              <w:left w:val="nil"/>
              <w:bottom w:val="nil"/>
              <w:right w:val="nil"/>
            </w:tcBorders>
          </w:tcPr>
          <w:p>
            <w:pPr>
              <w:pStyle w:val="0"/>
              <w:jc w:val="center"/>
            </w:pPr>
            <w:r>
              <w:rPr>
                <w:sz w:val="24"/>
              </w:rPr>
              <w:t xml:space="preserve">(Код)</w:t>
            </w:r>
          </w:p>
        </w:tc>
        <w:tc>
          <w:tcPr>
            <w:tcW w:w="1134" w:type="dxa"/>
            <w:tcBorders>
              <w:left w:val="nil"/>
              <w:bottom w:val="nil"/>
              <w:right w:val="nil"/>
            </w:tcBorders>
          </w:tcPr>
          <w:p>
            <w:pPr>
              <w:pStyle w:val="0"/>
              <w:jc w:val="center"/>
            </w:pPr>
            <w:r>
              <w:rPr>
                <w:sz w:val="24"/>
              </w:rPr>
              <w:t xml:space="preserve">(Номер)</w:t>
            </w:r>
          </w:p>
        </w:tc>
        <w:tc>
          <w:tcPr>
            <w:tcW w:w="709" w:type="dxa"/>
            <w:tcBorders>
              <w:top w:val="nil"/>
              <w:left w:val="nil"/>
              <w:bottom w:val="nil"/>
              <w:right w:val="nil"/>
            </w:tcBorders>
          </w:tcPr>
          <w:p>
            <w:pPr>
              <w:pStyle w:val="0"/>
            </w:pPr>
            <w:r>
              <w:rPr>
                <w:sz w:val="24"/>
              </w:rPr>
            </w:r>
          </w:p>
        </w:tc>
        <w:tc>
          <w:tcPr>
            <w:tcW w:w="737" w:type="dxa"/>
            <w:tcBorders>
              <w:left w:val="nil"/>
              <w:bottom w:val="nil"/>
              <w:right w:val="nil"/>
            </w:tcBorders>
          </w:tcPr>
          <w:p>
            <w:pPr>
              <w:pStyle w:val="0"/>
              <w:jc w:val="center"/>
            </w:pPr>
            <w:r>
              <w:rPr>
                <w:sz w:val="24"/>
              </w:rPr>
              <w:t xml:space="preserve">(Код)</w:t>
            </w:r>
          </w:p>
        </w:tc>
        <w:tc>
          <w:tcPr>
            <w:tcW w:w="992" w:type="dxa"/>
            <w:tcBorders>
              <w:left w:val="nil"/>
              <w:bottom w:val="nil"/>
              <w:right w:val="nil"/>
            </w:tcBorders>
          </w:tcPr>
          <w:p>
            <w:pPr>
              <w:pStyle w:val="0"/>
              <w:jc w:val="center"/>
            </w:pPr>
            <w:r>
              <w:rPr>
                <w:sz w:val="24"/>
              </w:rPr>
              <w:t xml:space="preserve">(Номер)</w:t>
            </w:r>
          </w:p>
        </w:tc>
        <w:tc>
          <w:tcPr>
            <w:gridSpan w:val="2"/>
            <w:tcW w:w="1133" w:type="dxa"/>
            <w:tcBorders>
              <w:top w:val="nil"/>
              <w:left w:val="nil"/>
              <w:bottom w:val="nil"/>
              <w:right w:val="nil"/>
            </w:tcBorders>
          </w:tcPr>
          <w:p>
            <w:pPr>
              <w:pStyle w:val="0"/>
              <w:jc w:val="center"/>
            </w:pPr>
            <w:r>
              <w:rPr>
                <w:sz w:val="24"/>
              </w:rPr>
              <w:t xml:space="preserve">Вэб сайт:</w:t>
            </w:r>
          </w:p>
        </w:tc>
        <w:tc>
          <w:tcPr>
            <w:tcW w:w="737" w:type="dxa"/>
            <w:tcBorders>
              <w:left w:val="nil"/>
              <w:right w:val="nil"/>
            </w:tcBorders>
          </w:tcPr>
          <w:p>
            <w:pPr>
              <w:pStyle w:val="0"/>
            </w:pPr>
            <w:r>
              <w:rPr>
                <w:sz w:val="24"/>
              </w:rPr>
            </w:r>
          </w:p>
        </w:tc>
      </w:tr>
    </w:tbl>
    <w:p>
      <w:pPr>
        <w:pStyle w:val="0"/>
        <w:jc w:val="both"/>
      </w:pPr>
      <w:r>
        <w:rPr>
          <w:sz w:val="24"/>
        </w:rPr>
      </w:r>
    </w:p>
    <w:p>
      <w:pPr>
        <w:pStyle w:val="1"/>
        <w:jc w:val="both"/>
      </w:pPr>
      <w:r>
        <w:rPr>
          <w:sz w:val="20"/>
        </w:rPr>
        <w:t xml:space="preserve">Дата,   номер  и  место  выдачи  свидетельства  о  регистрации  организации</w:t>
      </w:r>
    </w:p>
    <w:p>
      <w:pPr>
        <w:pStyle w:val="1"/>
        <w:jc w:val="both"/>
      </w:pPr>
      <w:r>
        <w:rPr>
          <w:sz w:val="20"/>
        </w:rPr>
        <w:t xml:space="preserve">(предприятия) 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0"/>
        <w:jc w:val="both"/>
      </w:pPr>
      <w:r>
        <w:rPr>
          <w:sz w:val="24"/>
        </w:rPr>
      </w:r>
    </w:p>
    <w:tbl>
      <w:tblPr>
        <w:tblInd w:w="0" w:type="dxa"/>
        <w:tblLayout w:type="fixed"/>
        <w:tblCellMar>
          <w:top w:w="102" w:type="dxa"/>
          <w:left w:w="62" w:type="dxa"/>
          <w:bottom w:w="102" w:type="dxa"/>
          <w:right w:w="62" w:type="dxa"/>
        </w:tblCellMar>
      </w:tblPr>
      <w:tblGrid>
        <w:gridCol w:w="9071"/>
      </w:tblGrid>
      <w:tr>
        <w:tc>
          <w:tcPr>
            <w:tcW w:w="9071" w:type="dxa"/>
            <w:tcBorders>
              <w:top w:val="nil"/>
              <w:left w:val="nil"/>
              <w:bottom w:val="nil"/>
              <w:right w:val="nil"/>
            </w:tcBorders>
          </w:tcPr>
          <w:p>
            <w:pPr>
              <w:pStyle w:val="0"/>
              <w:jc w:val="both"/>
            </w:pPr>
            <w:r>
              <w:rPr>
                <w:sz w:val="24"/>
              </w:rPr>
              <w:t xml:space="preserve">Дата выдачи и номер лицензии на право работы с источниками ионизирующего излучения</w:t>
            </w:r>
          </w:p>
        </w:tc>
      </w:tr>
    </w:tbl>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2748"/>
        <w:gridCol w:w="1327"/>
        <w:gridCol w:w="1559"/>
        <w:gridCol w:w="3458"/>
      </w:tblGrid>
      <w:tr>
        <w:tc>
          <w:tcPr>
            <w:tcW w:w="2748" w:type="dxa"/>
          </w:tcPr>
          <w:p>
            <w:pPr>
              <w:pStyle w:val="0"/>
              <w:jc w:val="center"/>
            </w:pPr>
            <w:r>
              <w:rPr>
                <w:sz w:val="24"/>
              </w:rPr>
              <w:t xml:space="preserve">Регистрационный номер</w:t>
            </w:r>
          </w:p>
        </w:tc>
        <w:tc>
          <w:tcPr>
            <w:tcW w:w="1327" w:type="dxa"/>
          </w:tcPr>
          <w:p>
            <w:pPr>
              <w:pStyle w:val="0"/>
              <w:jc w:val="center"/>
            </w:pPr>
            <w:r>
              <w:rPr>
                <w:sz w:val="24"/>
              </w:rPr>
              <w:t xml:space="preserve">Дата выдачи</w:t>
            </w:r>
          </w:p>
        </w:tc>
        <w:tc>
          <w:tcPr>
            <w:tcW w:w="1559" w:type="dxa"/>
          </w:tcPr>
          <w:p>
            <w:pPr>
              <w:pStyle w:val="0"/>
              <w:jc w:val="center"/>
            </w:pPr>
            <w:r>
              <w:rPr>
                <w:sz w:val="24"/>
              </w:rPr>
              <w:t xml:space="preserve">Срок действия</w:t>
            </w:r>
          </w:p>
        </w:tc>
        <w:tc>
          <w:tcPr>
            <w:tcW w:w="3458" w:type="dxa"/>
          </w:tcPr>
          <w:p>
            <w:pPr>
              <w:pStyle w:val="0"/>
              <w:jc w:val="center"/>
            </w:pPr>
            <w:r>
              <w:rPr>
                <w:sz w:val="24"/>
              </w:rPr>
              <w:t xml:space="preserve">Разрешенные виды работ</w:t>
            </w:r>
          </w:p>
        </w:tc>
      </w:tr>
      <w:tr>
        <w:tc>
          <w:tcPr>
            <w:tcW w:w="2748" w:type="dxa"/>
          </w:tcPr>
          <w:p>
            <w:pPr>
              <w:pStyle w:val="0"/>
            </w:pPr>
            <w:r>
              <w:rPr>
                <w:sz w:val="24"/>
              </w:rPr>
            </w:r>
          </w:p>
        </w:tc>
        <w:tc>
          <w:tcPr>
            <w:tcW w:w="1327" w:type="dxa"/>
          </w:tcPr>
          <w:p>
            <w:pPr>
              <w:pStyle w:val="0"/>
            </w:pPr>
            <w:r>
              <w:rPr>
                <w:sz w:val="24"/>
              </w:rPr>
            </w:r>
          </w:p>
        </w:tc>
        <w:tc>
          <w:tcPr>
            <w:tcW w:w="1559" w:type="dxa"/>
          </w:tcPr>
          <w:p>
            <w:pPr>
              <w:pStyle w:val="0"/>
            </w:pPr>
            <w:r>
              <w:rPr>
                <w:sz w:val="24"/>
              </w:rPr>
            </w:r>
          </w:p>
        </w:tc>
        <w:tc>
          <w:tcPr>
            <w:tcW w:w="3458" w:type="dxa"/>
          </w:tcPr>
          <w:p>
            <w:pPr>
              <w:pStyle w:val="0"/>
            </w:pPr>
            <w:r>
              <w:rPr>
                <w:sz w:val="24"/>
              </w:rPr>
            </w:r>
          </w:p>
        </w:tc>
      </w:tr>
      <w:tr>
        <w:tc>
          <w:tcPr>
            <w:tcW w:w="2748" w:type="dxa"/>
          </w:tcPr>
          <w:p>
            <w:pPr>
              <w:pStyle w:val="0"/>
            </w:pPr>
            <w:r>
              <w:rPr>
                <w:sz w:val="24"/>
              </w:rPr>
            </w:r>
          </w:p>
        </w:tc>
        <w:tc>
          <w:tcPr>
            <w:tcW w:w="1327" w:type="dxa"/>
          </w:tcPr>
          <w:p>
            <w:pPr>
              <w:pStyle w:val="0"/>
            </w:pPr>
            <w:r>
              <w:rPr>
                <w:sz w:val="24"/>
              </w:rPr>
            </w:r>
          </w:p>
        </w:tc>
        <w:tc>
          <w:tcPr>
            <w:tcW w:w="1559" w:type="dxa"/>
          </w:tcPr>
          <w:p>
            <w:pPr>
              <w:pStyle w:val="0"/>
            </w:pPr>
            <w:r>
              <w:rPr>
                <w:sz w:val="24"/>
              </w:rPr>
            </w:r>
          </w:p>
        </w:tc>
        <w:tc>
          <w:tcPr>
            <w:tcW w:w="3458" w:type="dxa"/>
          </w:tcPr>
          <w:p>
            <w:pPr>
              <w:pStyle w:val="0"/>
            </w:pPr>
            <w:r>
              <w:rPr>
                <w:sz w:val="24"/>
              </w:rPr>
            </w:r>
          </w:p>
        </w:tc>
      </w:tr>
      <w:tr>
        <w:tc>
          <w:tcPr>
            <w:tcW w:w="2748" w:type="dxa"/>
          </w:tcPr>
          <w:p>
            <w:pPr>
              <w:pStyle w:val="0"/>
            </w:pPr>
            <w:r>
              <w:rPr>
                <w:sz w:val="24"/>
              </w:rPr>
            </w:r>
          </w:p>
        </w:tc>
        <w:tc>
          <w:tcPr>
            <w:tcW w:w="1327" w:type="dxa"/>
          </w:tcPr>
          <w:p>
            <w:pPr>
              <w:pStyle w:val="0"/>
            </w:pPr>
            <w:r>
              <w:rPr>
                <w:sz w:val="24"/>
              </w:rPr>
            </w:r>
          </w:p>
        </w:tc>
        <w:tc>
          <w:tcPr>
            <w:tcW w:w="1559" w:type="dxa"/>
          </w:tcPr>
          <w:p>
            <w:pPr>
              <w:pStyle w:val="0"/>
            </w:pPr>
            <w:r>
              <w:rPr>
                <w:sz w:val="24"/>
              </w:rPr>
            </w:r>
          </w:p>
        </w:tc>
        <w:tc>
          <w:tcPr>
            <w:tcW w:w="3458" w:type="dxa"/>
          </w:tcPr>
          <w:p>
            <w:pPr>
              <w:pStyle w:val="0"/>
            </w:pPr>
            <w:r>
              <w:rPr>
                <w:sz w:val="24"/>
              </w:rPr>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9071"/>
      </w:tblGrid>
      <w:tr>
        <w:tc>
          <w:tcPr>
            <w:tcW w:w="9071" w:type="dxa"/>
            <w:tcBorders>
              <w:top w:val="nil"/>
              <w:left w:val="nil"/>
              <w:bottom w:val="nil"/>
              <w:right w:val="nil"/>
            </w:tcBorders>
          </w:tcPr>
          <w:p>
            <w:pPr>
              <w:pStyle w:val="0"/>
              <w:jc w:val="both"/>
            </w:pPr>
            <w:r>
              <w:rPr>
                <w:sz w:val="24"/>
              </w:rPr>
              <w:t xml:space="preserve">Дата выдачи и регистрационный номер санитарно-эпидемиологические заключения о соответствии условий работы с источниками излучения санитарным правилам</w:t>
            </w:r>
          </w:p>
        </w:tc>
      </w:tr>
    </w:tbl>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2748"/>
        <w:gridCol w:w="1327"/>
        <w:gridCol w:w="1559"/>
        <w:gridCol w:w="3458"/>
      </w:tblGrid>
      <w:tr>
        <w:tc>
          <w:tcPr>
            <w:tcW w:w="2748" w:type="dxa"/>
          </w:tcPr>
          <w:p>
            <w:pPr>
              <w:pStyle w:val="0"/>
              <w:jc w:val="center"/>
            </w:pPr>
            <w:r>
              <w:rPr>
                <w:sz w:val="24"/>
              </w:rPr>
              <w:t xml:space="preserve">Регистрационный номер</w:t>
            </w:r>
          </w:p>
        </w:tc>
        <w:tc>
          <w:tcPr>
            <w:tcW w:w="1327" w:type="dxa"/>
          </w:tcPr>
          <w:p>
            <w:pPr>
              <w:pStyle w:val="0"/>
              <w:jc w:val="center"/>
            </w:pPr>
            <w:r>
              <w:rPr>
                <w:sz w:val="24"/>
              </w:rPr>
              <w:t xml:space="preserve">Дата выдачи</w:t>
            </w:r>
          </w:p>
        </w:tc>
        <w:tc>
          <w:tcPr>
            <w:tcW w:w="1559" w:type="dxa"/>
          </w:tcPr>
          <w:p>
            <w:pPr>
              <w:pStyle w:val="0"/>
              <w:jc w:val="center"/>
            </w:pPr>
            <w:r>
              <w:rPr>
                <w:sz w:val="24"/>
              </w:rPr>
              <w:t xml:space="preserve">Срок действия</w:t>
            </w:r>
          </w:p>
        </w:tc>
        <w:tc>
          <w:tcPr>
            <w:tcW w:w="3458" w:type="dxa"/>
          </w:tcPr>
          <w:p>
            <w:pPr>
              <w:pStyle w:val="0"/>
              <w:jc w:val="center"/>
            </w:pPr>
            <w:r>
              <w:rPr>
                <w:sz w:val="24"/>
              </w:rPr>
              <w:t xml:space="preserve">Разрешенные виды работ</w:t>
            </w:r>
          </w:p>
        </w:tc>
      </w:tr>
      <w:tr>
        <w:tc>
          <w:tcPr>
            <w:tcW w:w="2748" w:type="dxa"/>
          </w:tcPr>
          <w:p>
            <w:pPr>
              <w:pStyle w:val="0"/>
            </w:pPr>
            <w:r>
              <w:rPr>
                <w:sz w:val="24"/>
              </w:rPr>
            </w:r>
          </w:p>
        </w:tc>
        <w:tc>
          <w:tcPr>
            <w:tcW w:w="1327" w:type="dxa"/>
          </w:tcPr>
          <w:p>
            <w:pPr>
              <w:pStyle w:val="0"/>
            </w:pPr>
            <w:r>
              <w:rPr>
                <w:sz w:val="24"/>
              </w:rPr>
            </w:r>
          </w:p>
        </w:tc>
        <w:tc>
          <w:tcPr>
            <w:tcW w:w="1559" w:type="dxa"/>
          </w:tcPr>
          <w:p>
            <w:pPr>
              <w:pStyle w:val="0"/>
            </w:pPr>
            <w:r>
              <w:rPr>
                <w:sz w:val="24"/>
              </w:rPr>
            </w:r>
          </w:p>
        </w:tc>
        <w:tc>
          <w:tcPr>
            <w:tcW w:w="3458" w:type="dxa"/>
          </w:tcPr>
          <w:p>
            <w:pPr>
              <w:pStyle w:val="0"/>
            </w:pPr>
            <w:r>
              <w:rPr>
                <w:sz w:val="24"/>
              </w:rPr>
            </w:r>
          </w:p>
        </w:tc>
      </w:tr>
      <w:tr>
        <w:tc>
          <w:tcPr>
            <w:tcW w:w="2748" w:type="dxa"/>
          </w:tcPr>
          <w:p>
            <w:pPr>
              <w:pStyle w:val="0"/>
            </w:pPr>
            <w:r>
              <w:rPr>
                <w:sz w:val="24"/>
              </w:rPr>
            </w:r>
          </w:p>
        </w:tc>
        <w:tc>
          <w:tcPr>
            <w:tcW w:w="1327" w:type="dxa"/>
          </w:tcPr>
          <w:p>
            <w:pPr>
              <w:pStyle w:val="0"/>
            </w:pPr>
            <w:r>
              <w:rPr>
                <w:sz w:val="24"/>
              </w:rPr>
            </w:r>
          </w:p>
        </w:tc>
        <w:tc>
          <w:tcPr>
            <w:tcW w:w="1559" w:type="dxa"/>
          </w:tcPr>
          <w:p>
            <w:pPr>
              <w:pStyle w:val="0"/>
            </w:pPr>
            <w:r>
              <w:rPr>
                <w:sz w:val="24"/>
              </w:rPr>
            </w:r>
          </w:p>
        </w:tc>
        <w:tc>
          <w:tcPr>
            <w:tcW w:w="3458" w:type="dxa"/>
          </w:tcPr>
          <w:p>
            <w:pPr>
              <w:pStyle w:val="0"/>
            </w:pPr>
            <w:r>
              <w:rPr>
                <w:sz w:val="24"/>
              </w:rPr>
            </w:r>
          </w:p>
        </w:tc>
      </w:tr>
      <w:tr>
        <w:tc>
          <w:tcPr>
            <w:tcW w:w="2748" w:type="dxa"/>
          </w:tcPr>
          <w:p>
            <w:pPr>
              <w:pStyle w:val="0"/>
            </w:pPr>
            <w:r>
              <w:rPr>
                <w:sz w:val="24"/>
              </w:rPr>
            </w:r>
          </w:p>
        </w:tc>
        <w:tc>
          <w:tcPr>
            <w:tcW w:w="1327" w:type="dxa"/>
          </w:tcPr>
          <w:p>
            <w:pPr>
              <w:pStyle w:val="0"/>
            </w:pPr>
            <w:r>
              <w:rPr>
                <w:sz w:val="24"/>
              </w:rPr>
            </w:r>
          </w:p>
        </w:tc>
        <w:tc>
          <w:tcPr>
            <w:tcW w:w="1559" w:type="dxa"/>
          </w:tcPr>
          <w:p>
            <w:pPr>
              <w:pStyle w:val="0"/>
            </w:pPr>
            <w:r>
              <w:rPr>
                <w:sz w:val="24"/>
              </w:rPr>
            </w:r>
          </w:p>
        </w:tc>
        <w:tc>
          <w:tcPr>
            <w:tcW w:w="3458" w:type="dxa"/>
          </w:tcPr>
          <w:p>
            <w:pPr>
              <w:pStyle w:val="0"/>
            </w:pPr>
            <w:r>
              <w:rPr>
                <w:sz w:val="24"/>
              </w:rPr>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9071"/>
      </w:tblGrid>
      <w:tr>
        <w:tc>
          <w:tcPr>
            <w:tcW w:w="9071" w:type="dxa"/>
            <w:tcBorders>
              <w:top w:val="nil"/>
              <w:left w:val="nil"/>
              <w:bottom w:val="nil"/>
              <w:right w:val="nil"/>
            </w:tcBorders>
          </w:tcPr>
          <w:bookmarkStart w:id="244" w:name="P244"/>
          <w:bookmarkEnd w:id="244"/>
          <w:p>
            <w:pPr>
              <w:pStyle w:val="0"/>
              <w:outlineLvl w:val="1"/>
              <w:jc w:val="both"/>
            </w:pPr>
            <w:r>
              <w:rPr>
                <w:sz w:val="24"/>
              </w:rPr>
              <w:t xml:space="preserve">1. Характеристика работ с использованием источников ионизирующего излучения (далее по тексту ИИИ) в организации (предприятии)</w:t>
            </w:r>
          </w:p>
        </w:tc>
      </w:tr>
    </w:tbl>
    <w:p>
      <w:pPr>
        <w:pStyle w:val="0"/>
        <w:jc w:val="both"/>
      </w:pPr>
      <w:r>
        <w:rPr>
          <w:sz w:val="24"/>
        </w:rPr>
      </w:r>
    </w:p>
    <w:bookmarkStart w:id="246" w:name="P246"/>
    <w:bookmarkEnd w:id="246"/>
    <w:p>
      <w:pPr>
        <w:pStyle w:val="1"/>
        <w:jc w:val="both"/>
      </w:pPr>
      <w:r>
        <w:rPr>
          <w:sz w:val="20"/>
        </w:rPr>
        <w:t xml:space="preserve">1.1.  Вид  разрешенных  работ  с  ИИИ  (с открытыми ИИИ; с закрытыми ИИИ; с</w:t>
      </w:r>
    </w:p>
    <w:p>
      <w:pPr>
        <w:pStyle w:val="1"/>
        <w:jc w:val="both"/>
      </w:pPr>
      <w:r>
        <w:rPr>
          <w:sz w:val="20"/>
        </w:rPr>
        <w:t xml:space="preserve">устройствами,  генерирующими  ИИИ; эксплуатация ядерных установок; хранение</w:t>
      </w:r>
    </w:p>
    <w:p>
      <w:pPr>
        <w:pStyle w:val="1"/>
        <w:jc w:val="both"/>
      </w:pPr>
      <w:r>
        <w:rPr>
          <w:sz w:val="20"/>
        </w:rPr>
        <w:t xml:space="preserve">радионуклидных источников; обращение с радиоактивными отходами; прочее) ___</w:t>
      </w:r>
    </w:p>
    <w:p>
      <w:pPr>
        <w:pStyle w:val="1"/>
        <w:jc w:val="both"/>
      </w:pPr>
      <w:r>
        <w:rPr>
          <w:sz w:val="20"/>
        </w:rPr>
        <w:t xml:space="preserve">___________________________________________________________________________</w:t>
      </w:r>
    </w:p>
    <w:p>
      <w:pPr>
        <w:pStyle w:val="1"/>
        <w:jc w:val="both"/>
      </w:pPr>
      <w:r>
        <w:rPr>
          <w:sz w:val="20"/>
        </w:rPr>
        <w:t xml:space="preserve">и типы имеющихся установок (объектов) с ИИИ</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76"/>
        <w:gridCol w:w="6860"/>
        <w:gridCol w:w="1587"/>
      </w:tblGrid>
      <w:tr>
        <w:tc>
          <w:tcPr>
            <w:tcW w:w="576" w:type="dxa"/>
          </w:tcPr>
          <w:bookmarkStart w:id="252" w:name="P252"/>
          <w:bookmarkEnd w:id="252"/>
          <w:p>
            <w:pPr>
              <w:pStyle w:val="0"/>
              <w:jc w:val="center"/>
            </w:pPr>
            <w:r>
              <w:rPr>
                <w:sz w:val="24"/>
              </w:rPr>
              <w:t xml:space="preserve">N п/п</w:t>
            </w:r>
          </w:p>
        </w:tc>
        <w:tc>
          <w:tcPr>
            <w:tcW w:w="6860" w:type="dxa"/>
          </w:tcPr>
          <w:p>
            <w:pPr>
              <w:pStyle w:val="0"/>
              <w:jc w:val="center"/>
            </w:pPr>
            <w:r>
              <w:rPr>
                <w:sz w:val="24"/>
              </w:rPr>
              <w:t xml:space="preserve">Типы установок (объектов) с ИИИ</w:t>
            </w:r>
          </w:p>
        </w:tc>
        <w:tc>
          <w:tcPr>
            <w:tcW w:w="1587" w:type="dxa"/>
          </w:tcPr>
          <w:p>
            <w:pPr>
              <w:pStyle w:val="0"/>
              <w:jc w:val="center"/>
            </w:pPr>
            <w:r>
              <w:rPr>
                <w:sz w:val="24"/>
              </w:rPr>
              <w:t xml:space="preserve">Количество в организации</w:t>
            </w:r>
          </w:p>
        </w:tc>
      </w:tr>
      <w:tr>
        <w:tc>
          <w:tcPr>
            <w:tcW w:w="576" w:type="dxa"/>
          </w:tcPr>
          <w:p>
            <w:pPr>
              <w:pStyle w:val="0"/>
              <w:jc w:val="center"/>
            </w:pPr>
            <w:r>
              <w:rPr>
                <w:sz w:val="24"/>
              </w:rPr>
              <w:t xml:space="preserve">1</w:t>
            </w:r>
          </w:p>
        </w:tc>
        <w:tc>
          <w:tcPr>
            <w:tcW w:w="6860" w:type="dxa"/>
          </w:tcPr>
          <w:p>
            <w:pPr>
              <w:pStyle w:val="0"/>
              <w:jc w:val="both"/>
            </w:pPr>
            <w:r>
              <w:rPr>
                <w:sz w:val="24"/>
              </w:rPr>
              <w:t xml:space="preserve">Гамма-дефектоскопы</w:t>
            </w:r>
          </w:p>
        </w:tc>
        <w:tc>
          <w:tcPr>
            <w:tcW w:w="1587" w:type="dxa"/>
          </w:tcPr>
          <w:p>
            <w:pPr>
              <w:pStyle w:val="0"/>
            </w:pPr>
            <w:r>
              <w:rPr>
                <w:sz w:val="24"/>
              </w:rPr>
            </w:r>
          </w:p>
        </w:tc>
      </w:tr>
      <w:tr>
        <w:tc>
          <w:tcPr>
            <w:tcW w:w="576" w:type="dxa"/>
          </w:tcPr>
          <w:p>
            <w:pPr>
              <w:pStyle w:val="0"/>
              <w:jc w:val="center"/>
            </w:pPr>
            <w:r>
              <w:rPr>
                <w:sz w:val="24"/>
              </w:rPr>
              <w:t xml:space="preserve">2</w:t>
            </w:r>
          </w:p>
        </w:tc>
        <w:tc>
          <w:tcPr>
            <w:tcW w:w="6860" w:type="dxa"/>
          </w:tcPr>
          <w:p>
            <w:pPr>
              <w:pStyle w:val="0"/>
              <w:jc w:val="both"/>
            </w:pPr>
            <w:r>
              <w:rPr>
                <w:sz w:val="24"/>
              </w:rPr>
              <w:t xml:space="preserve">Дефектоскопы рентгеновские</w:t>
            </w:r>
          </w:p>
        </w:tc>
        <w:tc>
          <w:tcPr>
            <w:tcW w:w="1587" w:type="dxa"/>
          </w:tcPr>
          <w:p>
            <w:pPr>
              <w:pStyle w:val="0"/>
            </w:pPr>
            <w:r>
              <w:rPr>
                <w:sz w:val="24"/>
              </w:rPr>
            </w:r>
          </w:p>
        </w:tc>
      </w:tr>
      <w:tr>
        <w:tc>
          <w:tcPr>
            <w:tcW w:w="576" w:type="dxa"/>
          </w:tcPr>
          <w:p>
            <w:pPr>
              <w:pStyle w:val="0"/>
              <w:jc w:val="center"/>
            </w:pPr>
            <w:r>
              <w:rPr>
                <w:sz w:val="24"/>
              </w:rPr>
              <w:t xml:space="preserve">3</w:t>
            </w:r>
          </w:p>
        </w:tc>
        <w:tc>
          <w:tcPr>
            <w:tcW w:w="6860" w:type="dxa"/>
          </w:tcPr>
          <w:p>
            <w:pPr>
              <w:pStyle w:val="0"/>
              <w:jc w:val="both"/>
            </w:pPr>
            <w:r>
              <w:rPr>
                <w:sz w:val="24"/>
              </w:rPr>
              <w:t xml:space="preserve">Досмотровые рентгеновские установки</w:t>
            </w:r>
          </w:p>
        </w:tc>
        <w:tc>
          <w:tcPr>
            <w:tcW w:w="1587" w:type="dxa"/>
          </w:tcPr>
          <w:p>
            <w:pPr>
              <w:pStyle w:val="0"/>
            </w:pPr>
            <w:r>
              <w:rPr>
                <w:sz w:val="24"/>
              </w:rPr>
            </w:r>
          </w:p>
        </w:tc>
      </w:tr>
      <w:tr>
        <w:tc>
          <w:tcPr>
            <w:tcW w:w="576" w:type="dxa"/>
          </w:tcPr>
          <w:p>
            <w:pPr>
              <w:pStyle w:val="0"/>
              <w:jc w:val="center"/>
            </w:pPr>
            <w:r>
              <w:rPr>
                <w:sz w:val="24"/>
              </w:rPr>
              <w:t xml:space="preserve">4</w:t>
            </w:r>
          </w:p>
        </w:tc>
        <w:tc>
          <w:tcPr>
            <w:tcW w:w="6860" w:type="dxa"/>
          </w:tcPr>
          <w:p>
            <w:pPr>
              <w:pStyle w:val="0"/>
              <w:jc w:val="both"/>
            </w:pPr>
            <w:r>
              <w:rPr>
                <w:sz w:val="24"/>
              </w:rPr>
              <w:t xml:space="preserve">Закрытые радионуклидные источники</w:t>
            </w:r>
          </w:p>
        </w:tc>
        <w:tc>
          <w:tcPr>
            <w:tcW w:w="1587" w:type="dxa"/>
          </w:tcPr>
          <w:p>
            <w:pPr>
              <w:pStyle w:val="0"/>
            </w:pPr>
            <w:r>
              <w:rPr>
                <w:sz w:val="24"/>
              </w:rPr>
            </w:r>
          </w:p>
        </w:tc>
      </w:tr>
      <w:tr>
        <w:tc>
          <w:tcPr>
            <w:tcW w:w="576" w:type="dxa"/>
          </w:tcPr>
          <w:p>
            <w:pPr>
              <w:pStyle w:val="0"/>
              <w:jc w:val="center"/>
            </w:pPr>
            <w:r>
              <w:rPr>
                <w:sz w:val="24"/>
              </w:rPr>
              <w:t xml:space="preserve">5</w:t>
            </w:r>
          </w:p>
        </w:tc>
        <w:tc>
          <w:tcPr>
            <w:tcW w:w="6860" w:type="dxa"/>
          </w:tcPr>
          <w:p>
            <w:pPr>
              <w:pStyle w:val="0"/>
              <w:jc w:val="both"/>
            </w:pPr>
            <w:r>
              <w:rPr>
                <w:sz w:val="24"/>
              </w:rPr>
              <w:t xml:space="preserve">Могильники (хранилища) РАО</w:t>
            </w:r>
          </w:p>
        </w:tc>
        <w:tc>
          <w:tcPr>
            <w:tcW w:w="1587" w:type="dxa"/>
          </w:tcPr>
          <w:p>
            <w:pPr>
              <w:pStyle w:val="0"/>
            </w:pPr>
            <w:r>
              <w:rPr>
                <w:sz w:val="24"/>
              </w:rPr>
            </w:r>
          </w:p>
        </w:tc>
      </w:tr>
      <w:tr>
        <w:tc>
          <w:tcPr>
            <w:tcW w:w="576" w:type="dxa"/>
          </w:tcPr>
          <w:p>
            <w:pPr>
              <w:pStyle w:val="0"/>
              <w:jc w:val="center"/>
            </w:pPr>
            <w:r>
              <w:rPr>
                <w:sz w:val="24"/>
              </w:rPr>
              <w:t xml:space="preserve">6</w:t>
            </w:r>
          </w:p>
        </w:tc>
        <w:tc>
          <w:tcPr>
            <w:tcW w:w="6860" w:type="dxa"/>
          </w:tcPr>
          <w:p>
            <w:pPr>
              <w:pStyle w:val="0"/>
              <w:jc w:val="both"/>
            </w:pPr>
            <w:r>
              <w:rPr>
                <w:sz w:val="24"/>
              </w:rPr>
              <w:t xml:space="preserve">Мощные гамма-установки</w:t>
            </w:r>
          </w:p>
        </w:tc>
        <w:tc>
          <w:tcPr>
            <w:tcW w:w="1587" w:type="dxa"/>
          </w:tcPr>
          <w:p>
            <w:pPr>
              <w:pStyle w:val="0"/>
            </w:pPr>
            <w:r>
              <w:rPr>
                <w:sz w:val="24"/>
              </w:rPr>
            </w:r>
          </w:p>
        </w:tc>
      </w:tr>
      <w:tr>
        <w:tc>
          <w:tcPr>
            <w:tcW w:w="576" w:type="dxa"/>
          </w:tcPr>
          <w:p>
            <w:pPr>
              <w:pStyle w:val="0"/>
              <w:jc w:val="center"/>
            </w:pPr>
            <w:r>
              <w:rPr>
                <w:sz w:val="24"/>
              </w:rPr>
              <w:t xml:space="preserve">7</w:t>
            </w:r>
          </w:p>
        </w:tc>
        <w:tc>
          <w:tcPr>
            <w:tcW w:w="6860" w:type="dxa"/>
          </w:tcPr>
          <w:p>
            <w:pPr>
              <w:pStyle w:val="0"/>
              <w:jc w:val="both"/>
            </w:pPr>
            <w:r>
              <w:rPr>
                <w:sz w:val="24"/>
              </w:rPr>
              <w:t xml:space="preserve">Нейтронные генераторы</w:t>
            </w:r>
          </w:p>
        </w:tc>
        <w:tc>
          <w:tcPr>
            <w:tcW w:w="1587" w:type="dxa"/>
          </w:tcPr>
          <w:p>
            <w:pPr>
              <w:pStyle w:val="0"/>
            </w:pPr>
            <w:r>
              <w:rPr>
                <w:sz w:val="24"/>
              </w:rPr>
            </w:r>
          </w:p>
        </w:tc>
      </w:tr>
      <w:tr>
        <w:tc>
          <w:tcPr>
            <w:tcW w:w="576" w:type="dxa"/>
          </w:tcPr>
          <w:p>
            <w:pPr>
              <w:pStyle w:val="0"/>
              <w:jc w:val="center"/>
            </w:pPr>
            <w:r>
              <w:rPr>
                <w:sz w:val="24"/>
              </w:rPr>
              <w:t xml:space="preserve">8</w:t>
            </w:r>
          </w:p>
        </w:tc>
        <w:tc>
          <w:tcPr>
            <w:tcW w:w="6860" w:type="dxa"/>
          </w:tcPr>
          <w:p>
            <w:pPr>
              <w:pStyle w:val="0"/>
              <w:jc w:val="both"/>
            </w:pPr>
            <w:r>
              <w:rPr>
                <w:sz w:val="24"/>
              </w:rPr>
              <w:t xml:space="preserve">Радиоизотопные приборы</w:t>
            </w:r>
          </w:p>
        </w:tc>
        <w:tc>
          <w:tcPr>
            <w:tcW w:w="1587" w:type="dxa"/>
          </w:tcPr>
          <w:p>
            <w:pPr>
              <w:pStyle w:val="0"/>
            </w:pPr>
            <w:r>
              <w:rPr>
                <w:sz w:val="24"/>
              </w:rPr>
            </w:r>
          </w:p>
        </w:tc>
      </w:tr>
      <w:tr>
        <w:tc>
          <w:tcPr>
            <w:tcW w:w="576" w:type="dxa"/>
          </w:tcPr>
          <w:p>
            <w:pPr>
              <w:pStyle w:val="0"/>
              <w:jc w:val="center"/>
            </w:pPr>
            <w:r>
              <w:rPr>
                <w:sz w:val="24"/>
              </w:rPr>
              <w:t xml:space="preserve">9</w:t>
            </w:r>
          </w:p>
        </w:tc>
        <w:tc>
          <w:tcPr>
            <w:tcW w:w="6860" w:type="dxa"/>
          </w:tcPr>
          <w:p>
            <w:pPr>
              <w:pStyle w:val="0"/>
              <w:jc w:val="both"/>
            </w:pPr>
            <w:r>
              <w:rPr>
                <w:sz w:val="24"/>
              </w:rPr>
              <w:t xml:space="preserve">Рентгеновские медицинские аппараты</w:t>
            </w:r>
          </w:p>
        </w:tc>
        <w:tc>
          <w:tcPr>
            <w:tcW w:w="1587" w:type="dxa"/>
          </w:tcPr>
          <w:p>
            <w:pPr>
              <w:pStyle w:val="0"/>
            </w:pPr>
            <w:r>
              <w:rPr>
                <w:sz w:val="24"/>
              </w:rPr>
            </w:r>
          </w:p>
        </w:tc>
      </w:tr>
      <w:tr>
        <w:tc>
          <w:tcPr>
            <w:tcW w:w="576" w:type="dxa"/>
          </w:tcPr>
          <w:p>
            <w:pPr>
              <w:pStyle w:val="0"/>
              <w:jc w:val="center"/>
            </w:pPr>
            <w:r>
              <w:rPr>
                <w:sz w:val="24"/>
              </w:rPr>
              <w:t xml:space="preserve">10</w:t>
            </w:r>
          </w:p>
        </w:tc>
        <w:tc>
          <w:tcPr>
            <w:tcW w:w="6860" w:type="dxa"/>
          </w:tcPr>
          <w:p>
            <w:pPr>
              <w:pStyle w:val="0"/>
              <w:jc w:val="both"/>
            </w:pPr>
            <w:r>
              <w:rPr>
                <w:sz w:val="24"/>
              </w:rPr>
              <w:t xml:space="preserve">Ускорители заряженных частиц (кроме электронов)</w:t>
            </w:r>
          </w:p>
        </w:tc>
        <w:tc>
          <w:tcPr>
            <w:tcW w:w="1587" w:type="dxa"/>
          </w:tcPr>
          <w:p>
            <w:pPr>
              <w:pStyle w:val="0"/>
            </w:pPr>
            <w:r>
              <w:rPr>
                <w:sz w:val="24"/>
              </w:rPr>
            </w:r>
          </w:p>
        </w:tc>
      </w:tr>
      <w:tr>
        <w:tc>
          <w:tcPr>
            <w:tcW w:w="576" w:type="dxa"/>
          </w:tcPr>
          <w:p>
            <w:pPr>
              <w:pStyle w:val="0"/>
              <w:jc w:val="center"/>
            </w:pPr>
            <w:r>
              <w:rPr>
                <w:sz w:val="24"/>
              </w:rPr>
              <w:t xml:space="preserve">11</w:t>
            </w:r>
          </w:p>
        </w:tc>
        <w:tc>
          <w:tcPr>
            <w:tcW w:w="6860" w:type="dxa"/>
          </w:tcPr>
          <w:p>
            <w:pPr>
              <w:pStyle w:val="0"/>
              <w:jc w:val="both"/>
            </w:pPr>
            <w:r>
              <w:rPr>
                <w:sz w:val="24"/>
              </w:rPr>
              <w:t xml:space="preserve">Установки по переработке РАО</w:t>
            </w:r>
          </w:p>
        </w:tc>
        <w:tc>
          <w:tcPr>
            <w:tcW w:w="1587" w:type="dxa"/>
          </w:tcPr>
          <w:p>
            <w:pPr>
              <w:pStyle w:val="0"/>
            </w:pPr>
            <w:r>
              <w:rPr>
                <w:sz w:val="24"/>
              </w:rPr>
            </w:r>
          </w:p>
        </w:tc>
      </w:tr>
      <w:tr>
        <w:tc>
          <w:tcPr>
            <w:tcW w:w="576" w:type="dxa"/>
          </w:tcPr>
          <w:p>
            <w:pPr>
              <w:pStyle w:val="0"/>
              <w:jc w:val="center"/>
            </w:pPr>
            <w:r>
              <w:rPr>
                <w:sz w:val="24"/>
              </w:rPr>
              <w:t xml:space="preserve">12</w:t>
            </w:r>
          </w:p>
        </w:tc>
        <w:tc>
          <w:tcPr>
            <w:tcW w:w="6860" w:type="dxa"/>
          </w:tcPr>
          <w:p>
            <w:pPr>
              <w:pStyle w:val="0"/>
              <w:jc w:val="both"/>
            </w:pPr>
            <w:r>
              <w:rPr>
                <w:sz w:val="24"/>
              </w:rPr>
              <w:t xml:space="preserve">Установки с ускорителями электронов</w:t>
            </w:r>
          </w:p>
        </w:tc>
        <w:tc>
          <w:tcPr>
            <w:tcW w:w="1587" w:type="dxa"/>
          </w:tcPr>
          <w:p>
            <w:pPr>
              <w:pStyle w:val="0"/>
            </w:pPr>
            <w:r>
              <w:rPr>
                <w:sz w:val="24"/>
              </w:rPr>
            </w:r>
          </w:p>
        </w:tc>
      </w:tr>
      <w:tr>
        <w:tc>
          <w:tcPr>
            <w:tcW w:w="576" w:type="dxa"/>
          </w:tcPr>
          <w:p>
            <w:pPr>
              <w:pStyle w:val="0"/>
              <w:jc w:val="center"/>
            </w:pPr>
            <w:r>
              <w:rPr>
                <w:sz w:val="24"/>
              </w:rPr>
              <w:t xml:space="preserve">13</w:t>
            </w:r>
          </w:p>
        </w:tc>
        <w:tc>
          <w:tcPr>
            <w:tcW w:w="6860" w:type="dxa"/>
          </w:tcPr>
          <w:p>
            <w:pPr>
              <w:pStyle w:val="0"/>
              <w:jc w:val="both"/>
            </w:pPr>
            <w:r>
              <w:rPr>
                <w:sz w:val="24"/>
              </w:rPr>
              <w:t xml:space="preserve">Хранилища отработанного ядерного топлива</w:t>
            </w:r>
          </w:p>
        </w:tc>
        <w:tc>
          <w:tcPr>
            <w:tcW w:w="1587" w:type="dxa"/>
          </w:tcPr>
          <w:p>
            <w:pPr>
              <w:pStyle w:val="0"/>
            </w:pPr>
            <w:r>
              <w:rPr>
                <w:sz w:val="24"/>
              </w:rPr>
            </w:r>
          </w:p>
        </w:tc>
      </w:tr>
      <w:tr>
        <w:tc>
          <w:tcPr>
            <w:tcW w:w="576" w:type="dxa"/>
          </w:tcPr>
          <w:p>
            <w:pPr>
              <w:pStyle w:val="0"/>
              <w:jc w:val="center"/>
            </w:pPr>
            <w:r>
              <w:rPr>
                <w:sz w:val="24"/>
              </w:rPr>
              <w:t xml:space="preserve">14</w:t>
            </w:r>
          </w:p>
        </w:tc>
        <w:tc>
          <w:tcPr>
            <w:tcW w:w="6860" w:type="dxa"/>
          </w:tcPr>
          <w:p>
            <w:pPr>
              <w:pStyle w:val="0"/>
              <w:jc w:val="both"/>
            </w:pPr>
            <w:r>
              <w:rPr>
                <w:sz w:val="24"/>
              </w:rPr>
              <w:t xml:space="preserve">Хранилища радиоактивных веществ</w:t>
            </w:r>
          </w:p>
        </w:tc>
        <w:tc>
          <w:tcPr>
            <w:tcW w:w="1587" w:type="dxa"/>
          </w:tcPr>
          <w:p>
            <w:pPr>
              <w:pStyle w:val="0"/>
            </w:pPr>
            <w:r>
              <w:rPr>
                <w:sz w:val="24"/>
              </w:rPr>
            </w:r>
          </w:p>
        </w:tc>
      </w:tr>
      <w:tr>
        <w:tc>
          <w:tcPr>
            <w:tcW w:w="576" w:type="dxa"/>
          </w:tcPr>
          <w:p>
            <w:pPr>
              <w:pStyle w:val="0"/>
              <w:jc w:val="center"/>
            </w:pPr>
            <w:r>
              <w:rPr>
                <w:sz w:val="24"/>
              </w:rPr>
              <w:t xml:space="preserve">15</w:t>
            </w:r>
          </w:p>
        </w:tc>
        <w:tc>
          <w:tcPr>
            <w:tcW w:w="6860" w:type="dxa"/>
          </w:tcPr>
          <w:p>
            <w:pPr>
              <w:pStyle w:val="0"/>
              <w:jc w:val="both"/>
            </w:pPr>
            <w:r>
              <w:rPr>
                <w:sz w:val="24"/>
              </w:rPr>
              <w:t xml:space="preserve">Ядерные реакторы исследовательские и критсборки</w:t>
            </w:r>
          </w:p>
        </w:tc>
        <w:tc>
          <w:tcPr>
            <w:tcW w:w="1587" w:type="dxa"/>
          </w:tcPr>
          <w:p>
            <w:pPr>
              <w:pStyle w:val="0"/>
            </w:pPr>
            <w:r>
              <w:rPr>
                <w:sz w:val="24"/>
              </w:rPr>
            </w:r>
          </w:p>
        </w:tc>
      </w:tr>
      <w:tr>
        <w:tc>
          <w:tcPr>
            <w:tcW w:w="576" w:type="dxa"/>
          </w:tcPr>
          <w:p>
            <w:pPr>
              <w:pStyle w:val="0"/>
              <w:jc w:val="center"/>
            </w:pPr>
            <w:r>
              <w:rPr>
                <w:sz w:val="24"/>
              </w:rPr>
              <w:t xml:space="preserve">16</w:t>
            </w:r>
          </w:p>
        </w:tc>
        <w:tc>
          <w:tcPr>
            <w:tcW w:w="6860" w:type="dxa"/>
          </w:tcPr>
          <w:p>
            <w:pPr>
              <w:pStyle w:val="0"/>
              <w:jc w:val="both"/>
            </w:pPr>
            <w:r>
              <w:rPr>
                <w:sz w:val="24"/>
              </w:rPr>
              <w:t xml:space="preserve">Ядерные реакторы энергетические и промышленные</w:t>
            </w:r>
          </w:p>
        </w:tc>
        <w:tc>
          <w:tcPr>
            <w:tcW w:w="1587" w:type="dxa"/>
          </w:tcPr>
          <w:p>
            <w:pPr>
              <w:pStyle w:val="0"/>
            </w:pPr>
            <w:r>
              <w:rPr>
                <w:sz w:val="24"/>
              </w:rPr>
            </w:r>
          </w:p>
        </w:tc>
      </w:tr>
      <w:tr>
        <w:tc>
          <w:tcPr>
            <w:tcW w:w="576" w:type="dxa"/>
          </w:tcPr>
          <w:p>
            <w:pPr>
              <w:pStyle w:val="0"/>
              <w:jc w:val="center"/>
            </w:pPr>
            <w:r>
              <w:rPr>
                <w:sz w:val="24"/>
              </w:rPr>
              <w:t xml:space="preserve">17</w:t>
            </w:r>
          </w:p>
        </w:tc>
        <w:tc>
          <w:tcPr>
            <w:tcW w:w="6860" w:type="dxa"/>
          </w:tcPr>
          <w:p>
            <w:pPr>
              <w:pStyle w:val="0"/>
              <w:jc w:val="both"/>
            </w:pPr>
            <w:r>
              <w:rPr>
                <w:sz w:val="24"/>
              </w:rPr>
              <w:t xml:space="preserve">Прочие</w:t>
            </w:r>
          </w:p>
        </w:tc>
        <w:tc>
          <w:tcPr>
            <w:tcW w:w="1587" w:type="dxa"/>
          </w:tcPr>
          <w:p>
            <w:pPr>
              <w:pStyle w:val="0"/>
            </w:pPr>
            <w:r>
              <w:rPr>
                <w:sz w:val="24"/>
              </w:rPr>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9071"/>
      </w:tblGrid>
      <w:tr>
        <w:tc>
          <w:tcPr>
            <w:tcW w:w="9071" w:type="dxa"/>
            <w:tcBorders>
              <w:top w:val="nil"/>
              <w:left w:val="nil"/>
              <w:bottom w:val="nil"/>
              <w:right w:val="nil"/>
            </w:tcBorders>
          </w:tcPr>
          <w:bookmarkStart w:id="307" w:name="P307"/>
          <w:bookmarkEnd w:id="307"/>
          <w:p>
            <w:pPr>
              <w:pStyle w:val="0"/>
              <w:outlineLvl w:val="2"/>
              <w:jc w:val="both"/>
            </w:pPr>
            <w:r>
              <w:rPr>
                <w:sz w:val="24"/>
              </w:rPr>
              <w:t xml:space="preserve">1.2. Основное направление деятельности организации (предприятия) по работе с ИИИ:</w:t>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9071"/>
      </w:tblGrid>
      <w:tr>
        <w:tc>
          <w:tcPr>
            <w:tcW w:w="9071" w:type="dxa"/>
            <w:tcBorders>
              <w:top w:val="nil"/>
              <w:left w:val="nil"/>
              <w:bottom w:val="nil"/>
              <w:right w:val="nil"/>
            </w:tcBorders>
          </w:tcPr>
          <w:p>
            <w:pPr>
              <w:pStyle w:val="0"/>
              <w:jc w:val="both"/>
            </w:pPr>
            <w:r>
              <w:rPr>
                <w:sz w:val="24"/>
              </w:rPr>
              <w:t xml:space="preserve">Категория радиационного объекта (в соответствии с </w:t>
            </w:r>
            <w:hyperlink w:history="0" r:id="rId30" w:tooltip="Постановление Главного государственного санитарного врача РФ от 26.04.2010 N 40 (ред. от 16.09.2013) &quot;Об утверждении СП 2.6.1.2612-10 &quot;Основные санитарные правила обеспечения радиационной безопасности (ОСПОРБ-99/2010)&quot; (вместе с &quot;СП 2.6.1.2612-10. ОСПОРБ-99/2010. Санитарные правила и нормативы...&quot;) (Зарегистрировано в Минюсте России 11.08.2010 N 18115) {КонсультантПлюс}">
              <w:r>
                <w:rPr>
                  <w:sz w:val="24"/>
                  <w:color w:val="0000ff"/>
                </w:rPr>
                <w:t xml:space="preserve">п. 3.1</w:t>
              </w:r>
            </w:hyperlink>
            <w:r>
              <w:rPr>
                <w:sz w:val="24"/>
              </w:rPr>
              <w:t xml:space="preserve"> ОСПОРБ-99/2010) ___</w:t>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9071"/>
      </w:tblGrid>
      <w:tr>
        <w:tc>
          <w:tcPr>
            <w:tcW w:w="9071" w:type="dxa"/>
            <w:tcBorders>
              <w:top w:val="nil"/>
              <w:left w:val="nil"/>
              <w:bottom w:val="nil"/>
              <w:right w:val="nil"/>
            </w:tcBorders>
          </w:tcPr>
          <w:p>
            <w:pPr>
              <w:pStyle w:val="0"/>
              <w:outlineLvl w:val="2"/>
              <w:jc w:val="both"/>
            </w:pPr>
            <w:r>
              <w:rPr>
                <w:sz w:val="24"/>
              </w:rPr>
              <w:t xml:space="preserve">1.3. Класс работ</w:t>
            </w:r>
          </w:p>
        </w:tc>
      </w:tr>
    </w:tbl>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3020"/>
        <w:gridCol w:w="3020"/>
        <w:gridCol w:w="3020"/>
      </w:tblGrid>
      <w:tr>
        <w:tc>
          <w:tcPr>
            <w:gridSpan w:val="3"/>
            <w:tcW w:w="9060" w:type="dxa"/>
          </w:tcPr>
          <w:bookmarkStart w:id="313" w:name="P313"/>
          <w:bookmarkEnd w:id="313"/>
          <w:p>
            <w:pPr>
              <w:pStyle w:val="0"/>
              <w:jc w:val="center"/>
            </w:pPr>
            <w:r>
              <w:rPr>
                <w:sz w:val="24"/>
              </w:rPr>
              <w:t xml:space="preserve">Численность персонала (чел.), проводящего работы с открытыми источниками излучения</w:t>
            </w:r>
          </w:p>
        </w:tc>
      </w:tr>
      <w:tr>
        <w:tc>
          <w:tcPr>
            <w:tcW w:w="3020" w:type="dxa"/>
          </w:tcPr>
          <w:p>
            <w:pPr>
              <w:pStyle w:val="0"/>
              <w:jc w:val="center"/>
            </w:pPr>
            <w:r>
              <w:rPr>
                <w:sz w:val="24"/>
              </w:rPr>
              <w:t xml:space="preserve">I класса</w:t>
            </w:r>
          </w:p>
        </w:tc>
        <w:tc>
          <w:tcPr>
            <w:tcW w:w="3020" w:type="dxa"/>
          </w:tcPr>
          <w:p>
            <w:pPr>
              <w:pStyle w:val="0"/>
              <w:jc w:val="center"/>
            </w:pPr>
            <w:r>
              <w:rPr>
                <w:sz w:val="24"/>
              </w:rPr>
              <w:t xml:space="preserve">II класса</w:t>
            </w:r>
          </w:p>
        </w:tc>
        <w:tc>
          <w:tcPr>
            <w:tcW w:w="3020" w:type="dxa"/>
          </w:tcPr>
          <w:p>
            <w:pPr>
              <w:pStyle w:val="0"/>
              <w:jc w:val="center"/>
            </w:pPr>
            <w:r>
              <w:rPr>
                <w:sz w:val="24"/>
              </w:rPr>
              <w:t xml:space="preserve">III класса</w:t>
            </w:r>
          </w:p>
        </w:tc>
      </w:tr>
      <w:tr>
        <w:tc>
          <w:tcPr>
            <w:tcW w:w="3020" w:type="dxa"/>
          </w:tcPr>
          <w:p>
            <w:pPr>
              <w:pStyle w:val="0"/>
            </w:pPr>
            <w:r>
              <w:rPr>
                <w:sz w:val="24"/>
              </w:rPr>
            </w:r>
          </w:p>
        </w:tc>
        <w:tc>
          <w:tcPr>
            <w:tcW w:w="3020" w:type="dxa"/>
          </w:tcPr>
          <w:p>
            <w:pPr>
              <w:pStyle w:val="0"/>
            </w:pPr>
            <w:r>
              <w:rPr>
                <w:sz w:val="24"/>
              </w:rPr>
            </w:r>
          </w:p>
        </w:tc>
        <w:tc>
          <w:tcPr>
            <w:tcW w:w="3020" w:type="dxa"/>
          </w:tcPr>
          <w:p>
            <w:pPr>
              <w:pStyle w:val="0"/>
            </w:pPr>
            <w:r>
              <w:rPr>
                <w:sz w:val="24"/>
              </w:rPr>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9071"/>
      </w:tblGrid>
      <w:tr>
        <w:tc>
          <w:tcPr>
            <w:tcW w:w="9071" w:type="dxa"/>
            <w:tcBorders>
              <w:top w:val="nil"/>
              <w:left w:val="nil"/>
              <w:bottom w:val="nil"/>
              <w:right w:val="nil"/>
            </w:tcBorders>
          </w:tcPr>
          <w:bookmarkStart w:id="321" w:name="P321"/>
          <w:bookmarkEnd w:id="321"/>
          <w:p>
            <w:pPr>
              <w:pStyle w:val="0"/>
              <w:outlineLvl w:val="1"/>
              <w:jc w:val="both"/>
            </w:pPr>
            <w:r>
              <w:rPr>
                <w:sz w:val="24"/>
              </w:rPr>
              <w:t xml:space="preserve">2. Характеристика организации (предприятия), как потенциального источника радиоактивного загрязнения окружающей среды</w:t>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9071"/>
      </w:tblGrid>
      <w:tr>
        <w:tc>
          <w:tcPr>
            <w:tcW w:w="9071" w:type="dxa"/>
            <w:tcBorders>
              <w:top w:val="nil"/>
              <w:left w:val="nil"/>
              <w:bottom w:val="nil"/>
              <w:right w:val="nil"/>
            </w:tcBorders>
          </w:tcPr>
          <w:bookmarkStart w:id="323" w:name="P323"/>
          <w:bookmarkEnd w:id="323"/>
          <w:p>
            <w:pPr>
              <w:pStyle w:val="0"/>
              <w:outlineLvl w:val="2"/>
              <w:jc w:val="both"/>
            </w:pPr>
            <w:r>
              <w:rPr>
                <w:sz w:val="24"/>
              </w:rPr>
              <w:t xml:space="preserve">2.1. Годовые выбросы радионуклидов в атмосферу</w:t>
            </w:r>
          </w:p>
        </w:tc>
      </w:tr>
    </w:tbl>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587"/>
        <w:gridCol w:w="2154"/>
        <w:gridCol w:w="3061"/>
        <w:gridCol w:w="2268"/>
      </w:tblGrid>
      <w:tr>
        <w:tc>
          <w:tcPr>
            <w:tcW w:w="1587" w:type="dxa"/>
            <w:vMerge w:val="restart"/>
          </w:tcPr>
          <w:bookmarkStart w:id="325" w:name="P325"/>
          <w:bookmarkEnd w:id="325"/>
          <w:p>
            <w:pPr>
              <w:pStyle w:val="0"/>
              <w:jc w:val="center"/>
            </w:pPr>
            <w:r>
              <w:rPr>
                <w:sz w:val="24"/>
              </w:rPr>
              <w:t xml:space="preserve">Радионуклид</w:t>
            </w:r>
          </w:p>
        </w:tc>
        <w:tc>
          <w:tcPr>
            <w:tcW w:w="2154" w:type="dxa"/>
          </w:tcPr>
          <w:p>
            <w:pPr>
              <w:pStyle w:val="0"/>
              <w:jc w:val="center"/>
            </w:pPr>
            <w:r>
              <w:rPr>
                <w:sz w:val="24"/>
              </w:rPr>
              <w:t xml:space="preserve">Фактический выброс</w:t>
            </w:r>
          </w:p>
        </w:tc>
        <w:tc>
          <w:tcPr>
            <w:tcW w:w="3061" w:type="dxa"/>
          </w:tcPr>
          <w:p>
            <w:pPr>
              <w:pStyle w:val="0"/>
              <w:jc w:val="center"/>
            </w:pPr>
            <w:r>
              <w:rPr>
                <w:sz w:val="24"/>
              </w:rPr>
              <w:t xml:space="preserve">Предельно допустимый выброс (ПДВ)</w:t>
            </w:r>
          </w:p>
        </w:tc>
        <w:tc>
          <w:tcPr>
            <w:tcW w:w="2268" w:type="dxa"/>
            <w:vMerge w:val="restart"/>
          </w:tcPr>
          <w:bookmarkStart w:id="328" w:name="P328"/>
          <w:bookmarkEnd w:id="328"/>
          <w:p>
            <w:pPr>
              <w:pStyle w:val="0"/>
              <w:jc w:val="center"/>
            </w:pPr>
            <w:r>
              <w:rPr>
                <w:sz w:val="24"/>
              </w:rPr>
              <w:t xml:space="preserve">Отношение фактического выброса к ПДВ</w:t>
            </w:r>
          </w:p>
        </w:tc>
      </w:tr>
      <w:tr>
        <w:tc>
          <w:tcPr>
            <w:vMerge w:val="continue"/>
          </w:tcPr>
          <w:p/>
        </w:tc>
        <w:tc>
          <w:tcPr>
            <w:tcW w:w="2154" w:type="dxa"/>
          </w:tcPr>
          <w:p>
            <w:pPr>
              <w:pStyle w:val="0"/>
              <w:jc w:val="center"/>
            </w:pPr>
            <w:r>
              <w:rPr>
                <w:sz w:val="24"/>
              </w:rPr>
              <w:t xml:space="preserve">Бк/год</w:t>
            </w:r>
          </w:p>
        </w:tc>
        <w:tc>
          <w:tcPr>
            <w:tcW w:w="3061" w:type="dxa"/>
          </w:tcPr>
          <w:p>
            <w:pPr>
              <w:pStyle w:val="0"/>
              <w:jc w:val="center"/>
            </w:pPr>
            <w:r>
              <w:rPr>
                <w:sz w:val="24"/>
              </w:rPr>
              <w:t xml:space="preserve">Бк/год</w:t>
            </w:r>
          </w:p>
        </w:tc>
        <w:tc>
          <w:tcPr>
            <w:vMerge w:val="continue"/>
          </w:tcPr>
          <w:p/>
        </w:tc>
      </w:tr>
      <w:tr>
        <w:tc>
          <w:tcPr>
            <w:tcW w:w="1587" w:type="dxa"/>
          </w:tcPr>
          <w:p>
            <w:pPr>
              <w:pStyle w:val="0"/>
              <w:jc w:val="center"/>
            </w:pPr>
            <w:r>
              <w:rPr>
                <w:sz w:val="24"/>
                <w:vertAlign w:val="superscript"/>
              </w:rPr>
              <w:t xml:space="preserve">137</w:t>
            </w:r>
            <w:r>
              <w:rPr>
                <w:sz w:val="24"/>
              </w:rPr>
              <w:t xml:space="preserve">Cs</w:t>
            </w:r>
          </w:p>
        </w:tc>
        <w:tc>
          <w:tcPr>
            <w:tcW w:w="2154" w:type="dxa"/>
          </w:tcPr>
          <w:p>
            <w:pPr>
              <w:pStyle w:val="0"/>
            </w:pPr>
            <w:r>
              <w:rPr>
                <w:sz w:val="24"/>
              </w:rPr>
            </w:r>
          </w:p>
        </w:tc>
        <w:tc>
          <w:tcPr>
            <w:tcW w:w="3061" w:type="dxa"/>
          </w:tcPr>
          <w:p>
            <w:pPr>
              <w:pStyle w:val="0"/>
            </w:pPr>
            <w:r>
              <w:rPr>
                <w:sz w:val="24"/>
              </w:rPr>
            </w:r>
          </w:p>
        </w:tc>
        <w:tc>
          <w:tcPr>
            <w:tcW w:w="2268" w:type="dxa"/>
          </w:tcPr>
          <w:p>
            <w:pPr>
              <w:pStyle w:val="0"/>
            </w:pPr>
            <w:r>
              <w:rPr>
                <w:sz w:val="24"/>
              </w:rPr>
            </w:r>
          </w:p>
        </w:tc>
      </w:tr>
      <w:tr>
        <w:tc>
          <w:tcPr>
            <w:tcW w:w="1587" w:type="dxa"/>
          </w:tcPr>
          <w:p>
            <w:pPr>
              <w:pStyle w:val="0"/>
              <w:jc w:val="center"/>
            </w:pPr>
            <w:r>
              <w:rPr>
                <w:sz w:val="24"/>
                <w:vertAlign w:val="superscript"/>
              </w:rPr>
              <w:t xml:space="preserve">131</w:t>
            </w:r>
            <w:r>
              <w:rPr>
                <w:sz w:val="24"/>
              </w:rPr>
              <w:t xml:space="preserve">I</w:t>
            </w:r>
          </w:p>
        </w:tc>
        <w:tc>
          <w:tcPr>
            <w:tcW w:w="2154" w:type="dxa"/>
          </w:tcPr>
          <w:p>
            <w:pPr>
              <w:pStyle w:val="0"/>
            </w:pPr>
            <w:r>
              <w:rPr>
                <w:sz w:val="24"/>
              </w:rPr>
            </w:r>
          </w:p>
        </w:tc>
        <w:tc>
          <w:tcPr>
            <w:tcW w:w="3061" w:type="dxa"/>
          </w:tcPr>
          <w:p>
            <w:pPr>
              <w:pStyle w:val="0"/>
            </w:pPr>
            <w:r>
              <w:rPr>
                <w:sz w:val="24"/>
              </w:rPr>
            </w:r>
          </w:p>
        </w:tc>
        <w:tc>
          <w:tcPr>
            <w:tcW w:w="2268" w:type="dxa"/>
          </w:tcPr>
          <w:p>
            <w:pPr>
              <w:pStyle w:val="0"/>
            </w:pPr>
            <w:r>
              <w:rPr>
                <w:sz w:val="24"/>
              </w:rPr>
            </w:r>
          </w:p>
        </w:tc>
      </w:tr>
      <w:tr>
        <w:tc>
          <w:tcPr>
            <w:tcW w:w="1587" w:type="dxa"/>
          </w:tcPr>
          <w:p>
            <w:pPr>
              <w:pStyle w:val="0"/>
            </w:pPr>
            <w:r>
              <w:rPr>
                <w:sz w:val="24"/>
              </w:rPr>
            </w:r>
          </w:p>
        </w:tc>
        <w:tc>
          <w:tcPr>
            <w:tcW w:w="2154" w:type="dxa"/>
          </w:tcPr>
          <w:p>
            <w:pPr>
              <w:pStyle w:val="0"/>
            </w:pPr>
            <w:r>
              <w:rPr>
                <w:sz w:val="24"/>
              </w:rPr>
            </w:r>
          </w:p>
        </w:tc>
        <w:tc>
          <w:tcPr>
            <w:tcW w:w="3061" w:type="dxa"/>
          </w:tcPr>
          <w:p>
            <w:pPr>
              <w:pStyle w:val="0"/>
            </w:pPr>
            <w:r>
              <w:rPr>
                <w:sz w:val="24"/>
              </w:rPr>
            </w:r>
          </w:p>
        </w:tc>
        <w:tc>
          <w:tcPr>
            <w:tcW w:w="2268" w:type="dxa"/>
          </w:tcPr>
          <w:p>
            <w:pPr>
              <w:pStyle w:val="0"/>
            </w:pPr>
            <w:r>
              <w:rPr>
                <w:sz w:val="24"/>
              </w:rPr>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9071"/>
      </w:tblGrid>
      <w:tr>
        <w:tc>
          <w:tcPr>
            <w:tcW w:w="9071" w:type="dxa"/>
            <w:tcBorders>
              <w:top w:val="nil"/>
              <w:left w:val="nil"/>
              <w:bottom w:val="nil"/>
              <w:right w:val="nil"/>
            </w:tcBorders>
          </w:tcPr>
          <w:bookmarkStart w:id="344" w:name="P344"/>
          <w:bookmarkEnd w:id="344"/>
          <w:p>
            <w:pPr>
              <w:pStyle w:val="0"/>
              <w:outlineLvl w:val="2"/>
              <w:jc w:val="both"/>
            </w:pPr>
            <w:r>
              <w:rPr>
                <w:sz w:val="24"/>
              </w:rPr>
              <w:t xml:space="preserve">2.2. Годовые сбросы радионуклидов в водоемы</w:t>
            </w:r>
          </w:p>
        </w:tc>
      </w:tr>
    </w:tbl>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587"/>
        <w:gridCol w:w="2154"/>
        <w:gridCol w:w="3061"/>
        <w:gridCol w:w="2268"/>
      </w:tblGrid>
      <w:tr>
        <w:tc>
          <w:tcPr>
            <w:tcW w:w="1587" w:type="dxa"/>
            <w:vMerge w:val="restart"/>
          </w:tcPr>
          <w:bookmarkStart w:id="346" w:name="P346"/>
          <w:bookmarkEnd w:id="346"/>
          <w:p>
            <w:pPr>
              <w:pStyle w:val="0"/>
              <w:jc w:val="center"/>
            </w:pPr>
            <w:r>
              <w:rPr>
                <w:sz w:val="24"/>
              </w:rPr>
              <w:t xml:space="preserve">Радионуклид</w:t>
            </w:r>
          </w:p>
        </w:tc>
        <w:tc>
          <w:tcPr>
            <w:tcW w:w="2154" w:type="dxa"/>
          </w:tcPr>
          <w:p>
            <w:pPr>
              <w:pStyle w:val="0"/>
              <w:jc w:val="center"/>
            </w:pPr>
            <w:r>
              <w:rPr>
                <w:sz w:val="24"/>
              </w:rPr>
              <w:t xml:space="preserve">Фактический сброс</w:t>
            </w:r>
          </w:p>
        </w:tc>
        <w:tc>
          <w:tcPr>
            <w:tcW w:w="3061" w:type="dxa"/>
          </w:tcPr>
          <w:p>
            <w:pPr>
              <w:pStyle w:val="0"/>
              <w:jc w:val="center"/>
            </w:pPr>
            <w:r>
              <w:rPr>
                <w:sz w:val="24"/>
              </w:rPr>
              <w:t xml:space="preserve">Предельно допустимый сброс (ПДС)</w:t>
            </w:r>
          </w:p>
        </w:tc>
        <w:tc>
          <w:tcPr>
            <w:tcW w:w="2268" w:type="dxa"/>
            <w:vMerge w:val="restart"/>
          </w:tcPr>
          <w:p>
            <w:pPr>
              <w:pStyle w:val="0"/>
              <w:jc w:val="center"/>
            </w:pPr>
            <w:r>
              <w:rPr>
                <w:sz w:val="24"/>
              </w:rPr>
              <w:t xml:space="preserve">Отношение фактического сброса к ПДС</w:t>
            </w:r>
          </w:p>
        </w:tc>
      </w:tr>
      <w:tr>
        <w:tc>
          <w:tcPr>
            <w:vMerge w:val="continue"/>
          </w:tcPr>
          <w:p/>
        </w:tc>
        <w:tc>
          <w:tcPr>
            <w:tcW w:w="2154" w:type="dxa"/>
          </w:tcPr>
          <w:p>
            <w:pPr>
              <w:pStyle w:val="0"/>
              <w:jc w:val="center"/>
            </w:pPr>
            <w:r>
              <w:rPr>
                <w:sz w:val="24"/>
              </w:rPr>
              <w:t xml:space="preserve">Бк/год</w:t>
            </w:r>
          </w:p>
        </w:tc>
        <w:tc>
          <w:tcPr>
            <w:tcW w:w="3061" w:type="dxa"/>
          </w:tcPr>
          <w:p>
            <w:pPr>
              <w:pStyle w:val="0"/>
              <w:jc w:val="center"/>
            </w:pPr>
            <w:r>
              <w:rPr>
                <w:sz w:val="24"/>
              </w:rPr>
              <w:t xml:space="preserve">Бк/год</w:t>
            </w:r>
          </w:p>
        </w:tc>
        <w:tc>
          <w:tcPr>
            <w:vMerge w:val="continue"/>
          </w:tcPr>
          <w:p/>
        </w:tc>
      </w:tr>
      <w:tr>
        <w:tc>
          <w:tcPr>
            <w:tcW w:w="1587" w:type="dxa"/>
          </w:tcPr>
          <w:p>
            <w:pPr>
              <w:pStyle w:val="0"/>
              <w:jc w:val="center"/>
            </w:pPr>
            <w:r>
              <w:rPr>
                <w:sz w:val="24"/>
                <w:vertAlign w:val="superscript"/>
              </w:rPr>
              <w:t xml:space="preserve">137</w:t>
            </w:r>
            <w:r>
              <w:rPr>
                <w:sz w:val="24"/>
              </w:rPr>
              <w:t xml:space="preserve">Cs</w:t>
            </w:r>
          </w:p>
        </w:tc>
        <w:tc>
          <w:tcPr>
            <w:tcW w:w="2154" w:type="dxa"/>
          </w:tcPr>
          <w:p>
            <w:pPr>
              <w:pStyle w:val="0"/>
            </w:pPr>
            <w:r>
              <w:rPr>
                <w:sz w:val="24"/>
              </w:rPr>
            </w:r>
          </w:p>
        </w:tc>
        <w:tc>
          <w:tcPr>
            <w:tcW w:w="3061" w:type="dxa"/>
          </w:tcPr>
          <w:p>
            <w:pPr>
              <w:pStyle w:val="0"/>
            </w:pPr>
            <w:r>
              <w:rPr>
                <w:sz w:val="24"/>
              </w:rPr>
            </w:r>
          </w:p>
        </w:tc>
        <w:tc>
          <w:tcPr>
            <w:tcW w:w="2268" w:type="dxa"/>
          </w:tcPr>
          <w:p>
            <w:pPr>
              <w:pStyle w:val="0"/>
            </w:pPr>
            <w:r>
              <w:rPr>
                <w:sz w:val="24"/>
              </w:rPr>
            </w:r>
          </w:p>
        </w:tc>
      </w:tr>
      <w:tr>
        <w:tc>
          <w:tcPr>
            <w:tcW w:w="1587" w:type="dxa"/>
          </w:tcPr>
          <w:p>
            <w:pPr>
              <w:pStyle w:val="0"/>
              <w:jc w:val="center"/>
            </w:pPr>
            <w:r>
              <w:rPr>
                <w:sz w:val="24"/>
                <w:vertAlign w:val="superscript"/>
              </w:rPr>
              <w:t xml:space="preserve">90</w:t>
            </w:r>
            <w:r>
              <w:rPr>
                <w:sz w:val="24"/>
              </w:rPr>
              <w:t xml:space="preserve">Sr</w:t>
            </w:r>
          </w:p>
        </w:tc>
        <w:tc>
          <w:tcPr>
            <w:tcW w:w="2154" w:type="dxa"/>
          </w:tcPr>
          <w:p>
            <w:pPr>
              <w:pStyle w:val="0"/>
            </w:pPr>
            <w:r>
              <w:rPr>
                <w:sz w:val="24"/>
              </w:rPr>
            </w:r>
          </w:p>
        </w:tc>
        <w:tc>
          <w:tcPr>
            <w:tcW w:w="3061" w:type="dxa"/>
          </w:tcPr>
          <w:p>
            <w:pPr>
              <w:pStyle w:val="0"/>
            </w:pPr>
            <w:r>
              <w:rPr>
                <w:sz w:val="24"/>
              </w:rPr>
            </w:r>
          </w:p>
        </w:tc>
        <w:tc>
          <w:tcPr>
            <w:tcW w:w="2268" w:type="dxa"/>
          </w:tcPr>
          <w:p>
            <w:pPr>
              <w:pStyle w:val="0"/>
            </w:pPr>
            <w:r>
              <w:rPr>
                <w:sz w:val="24"/>
              </w:rPr>
            </w:r>
          </w:p>
        </w:tc>
      </w:tr>
      <w:tr>
        <w:tc>
          <w:tcPr>
            <w:tcW w:w="1587" w:type="dxa"/>
          </w:tcPr>
          <w:p>
            <w:pPr>
              <w:pStyle w:val="0"/>
              <w:jc w:val="center"/>
            </w:pPr>
            <w:r>
              <w:rPr>
                <w:sz w:val="24"/>
                <w:vertAlign w:val="superscript"/>
              </w:rPr>
              <w:t xml:space="preserve">3</w:t>
            </w:r>
            <w:r>
              <w:rPr>
                <w:sz w:val="24"/>
              </w:rPr>
              <w:t xml:space="preserve">H</w:t>
            </w:r>
          </w:p>
        </w:tc>
        <w:tc>
          <w:tcPr>
            <w:tcW w:w="2154" w:type="dxa"/>
          </w:tcPr>
          <w:p>
            <w:pPr>
              <w:pStyle w:val="0"/>
            </w:pPr>
            <w:r>
              <w:rPr>
                <w:sz w:val="24"/>
              </w:rPr>
            </w:r>
          </w:p>
        </w:tc>
        <w:tc>
          <w:tcPr>
            <w:tcW w:w="3061" w:type="dxa"/>
          </w:tcPr>
          <w:p>
            <w:pPr>
              <w:pStyle w:val="0"/>
            </w:pPr>
            <w:r>
              <w:rPr>
                <w:sz w:val="24"/>
              </w:rPr>
            </w:r>
          </w:p>
        </w:tc>
        <w:tc>
          <w:tcPr>
            <w:tcW w:w="2268" w:type="dxa"/>
          </w:tcPr>
          <w:p>
            <w:pPr>
              <w:pStyle w:val="0"/>
            </w:pPr>
            <w:r>
              <w:rPr>
                <w:sz w:val="24"/>
              </w:rPr>
            </w:r>
          </w:p>
        </w:tc>
      </w:tr>
      <w:tr>
        <w:tc>
          <w:tcPr>
            <w:tcW w:w="1587" w:type="dxa"/>
          </w:tcPr>
          <w:p>
            <w:pPr>
              <w:pStyle w:val="0"/>
            </w:pPr>
            <w:r>
              <w:rPr>
                <w:sz w:val="24"/>
              </w:rPr>
            </w:r>
          </w:p>
        </w:tc>
        <w:tc>
          <w:tcPr>
            <w:tcW w:w="2154" w:type="dxa"/>
          </w:tcPr>
          <w:p>
            <w:pPr>
              <w:pStyle w:val="0"/>
            </w:pPr>
            <w:r>
              <w:rPr>
                <w:sz w:val="24"/>
              </w:rPr>
            </w:r>
          </w:p>
        </w:tc>
        <w:tc>
          <w:tcPr>
            <w:tcW w:w="3061" w:type="dxa"/>
          </w:tcPr>
          <w:p>
            <w:pPr>
              <w:pStyle w:val="0"/>
            </w:pPr>
            <w:r>
              <w:rPr>
                <w:sz w:val="24"/>
              </w:rPr>
            </w:r>
          </w:p>
        </w:tc>
        <w:tc>
          <w:tcPr>
            <w:tcW w:w="2268" w:type="dxa"/>
          </w:tcPr>
          <w:p>
            <w:pPr>
              <w:pStyle w:val="0"/>
            </w:pPr>
            <w:r>
              <w:rPr>
                <w:sz w:val="24"/>
              </w:rPr>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9071"/>
      </w:tblGrid>
      <w:tr>
        <w:tc>
          <w:tcPr>
            <w:tcW w:w="9071" w:type="dxa"/>
            <w:tcBorders>
              <w:top w:val="nil"/>
              <w:left w:val="nil"/>
              <w:bottom w:val="nil"/>
              <w:right w:val="nil"/>
            </w:tcBorders>
          </w:tcPr>
          <w:bookmarkStart w:id="369" w:name="P369"/>
          <w:bookmarkEnd w:id="369"/>
          <w:p>
            <w:pPr>
              <w:pStyle w:val="0"/>
              <w:outlineLvl w:val="2"/>
              <w:jc w:val="both"/>
            </w:pPr>
            <w:r>
              <w:rPr>
                <w:sz w:val="24"/>
              </w:rPr>
              <w:t xml:space="preserve">2.3. Среднегодовая мощность эквивалентной дозы внешнего излучения на границе санитарно-защитной зоны, мкЗв/час</w:t>
            </w:r>
          </w:p>
        </w:tc>
      </w:tr>
    </w:tbl>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2257"/>
        <w:gridCol w:w="2257"/>
        <w:gridCol w:w="2257"/>
        <w:gridCol w:w="2260"/>
      </w:tblGrid>
      <w:tr>
        <w:tc>
          <w:tcPr>
            <w:tcW w:w="2257" w:type="dxa"/>
          </w:tcPr>
          <w:bookmarkStart w:id="371" w:name="P371"/>
          <w:bookmarkEnd w:id="371"/>
          <w:p>
            <w:pPr>
              <w:pStyle w:val="0"/>
              <w:jc w:val="center"/>
            </w:pPr>
            <w:r>
              <w:rPr>
                <w:sz w:val="24"/>
              </w:rPr>
              <w:t xml:space="preserve">Число измерений</w:t>
            </w:r>
          </w:p>
        </w:tc>
        <w:tc>
          <w:tcPr>
            <w:tcW w:w="2257" w:type="dxa"/>
          </w:tcPr>
          <w:p>
            <w:pPr>
              <w:pStyle w:val="0"/>
              <w:jc w:val="center"/>
            </w:pPr>
            <w:r>
              <w:rPr>
                <w:sz w:val="24"/>
              </w:rPr>
              <w:t xml:space="preserve">Минимальная за год</w:t>
            </w:r>
          </w:p>
        </w:tc>
        <w:tc>
          <w:tcPr>
            <w:tcW w:w="2257" w:type="dxa"/>
          </w:tcPr>
          <w:p>
            <w:pPr>
              <w:pStyle w:val="0"/>
              <w:jc w:val="center"/>
            </w:pPr>
            <w:r>
              <w:rPr>
                <w:sz w:val="24"/>
              </w:rPr>
              <w:t xml:space="preserve">Среднегодовая</w:t>
            </w:r>
          </w:p>
        </w:tc>
        <w:tc>
          <w:tcPr>
            <w:tcW w:w="2260" w:type="dxa"/>
          </w:tcPr>
          <w:p>
            <w:pPr>
              <w:pStyle w:val="0"/>
              <w:jc w:val="center"/>
            </w:pPr>
            <w:r>
              <w:rPr>
                <w:sz w:val="24"/>
              </w:rPr>
              <w:t xml:space="preserve">Максимальная за год</w:t>
            </w:r>
          </w:p>
        </w:tc>
      </w:tr>
      <w:tr>
        <w:tc>
          <w:tcPr>
            <w:tcW w:w="2257" w:type="dxa"/>
          </w:tcPr>
          <w:p>
            <w:pPr>
              <w:pStyle w:val="0"/>
            </w:pPr>
            <w:r>
              <w:rPr>
                <w:sz w:val="24"/>
              </w:rPr>
            </w:r>
          </w:p>
        </w:tc>
        <w:tc>
          <w:tcPr>
            <w:tcW w:w="2257" w:type="dxa"/>
          </w:tcPr>
          <w:p>
            <w:pPr>
              <w:pStyle w:val="0"/>
            </w:pPr>
            <w:r>
              <w:rPr>
                <w:sz w:val="24"/>
              </w:rPr>
            </w:r>
          </w:p>
        </w:tc>
        <w:tc>
          <w:tcPr>
            <w:tcW w:w="2257" w:type="dxa"/>
          </w:tcPr>
          <w:p>
            <w:pPr>
              <w:pStyle w:val="0"/>
            </w:pPr>
            <w:r>
              <w:rPr>
                <w:sz w:val="24"/>
              </w:rPr>
            </w:r>
          </w:p>
        </w:tc>
        <w:tc>
          <w:tcPr>
            <w:tcW w:w="2260" w:type="dxa"/>
          </w:tcPr>
          <w:p>
            <w:pPr>
              <w:pStyle w:val="0"/>
            </w:pPr>
            <w:r>
              <w:rPr>
                <w:sz w:val="24"/>
              </w:rPr>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9071"/>
      </w:tblGrid>
      <w:tr>
        <w:tc>
          <w:tcPr>
            <w:tcW w:w="9071" w:type="dxa"/>
            <w:tcBorders>
              <w:top w:val="nil"/>
              <w:left w:val="nil"/>
              <w:bottom w:val="nil"/>
              <w:right w:val="nil"/>
            </w:tcBorders>
          </w:tcPr>
          <w:bookmarkStart w:id="380" w:name="P380"/>
          <w:bookmarkEnd w:id="380"/>
          <w:p>
            <w:pPr>
              <w:pStyle w:val="0"/>
              <w:outlineLvl w:val="2"/>
              <w:jc w:val="both"/>
            </w:pPr>
            <w:r>
              <w:rPr>
                <w:sz w:val="24"/>
              </w:rPr>
              <w:t xml:space="preserve">2.4. Среднегодовые объемная активность радионуклидов в воздухе (в мБк/м</w:t>
            </w:r>
            <w:r>
              <w:rPr>
                <w:sz w:val="24"/>
                <w:vertAlign w:val="superscript"/>
              </w:rPr>
              <w:t xml:space="preserve">3</w:t>
            </w:r>
            <w:r>
              <w:rPr>
                <w:sz w:val="24"/>
              </w:rPr>
              <w:t xml:space="preserve"> и в единицах допустимой объемной активности для населения - ДОА</w:t>
            </w:r>
            <w:r>
              <w:rPr>
                <w:sz w:val="24"/>
                <w:vertAlign w:val="subscript"/>
              </w:rPr>
              <w:t xml:space="preserve">нас</w:t>
            </w:r>
            <w:r>
              <w:rPr>
                <w:sz w:val="24"/>
              </w:rPr>
              <w:t xml:space="preserve">) и удельная активность радионуклидов в воде открытых водных объектов (в Бк/кг и в единицах уровней вмешательства - УВ) в санитарно-защитной зоне</w:t>
            </w:r>
          </w:p>
        </w:tc>
      </w:tr>
    </w:tbl>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701"/>
        <w:gridCol w:w="737"/>
        <w:gridCol w:w="680"/>
        <w:gridCol w:w="907"/>
        <w:gridCol w:w="680"/>
        <w:gridCol w:w="907"/>
        <w:gridCol w:w="737"/>
        <w:gridCol w:w="737"/>
        <w:gridCol w:w="624"/>
        <w:gridCol w:w="708"/>
        <w:gridCol w:w="624"/>
      </w:tblGrid>
      <w:tr>
        <w:tc>
          <w:tcPr>
            <w:tcW w:w="1701" w:type="dxa"/>
            <w:vMerge w:val="restart"/>
          </w:tcPr>
          <w:bookmarkStart w:id="382" w:name="P382"/>
          <w:bookmarkEnd w:id="382"/>
          <w:p>
            <w:pPr>
              <w:pStyle w:val="0"/>
              <w:jc w:val="center"/>
            </w:pPr>
            <w:r>
              <w:rPr>
                <w:sz w:val="24"/>
              </w:rPr>
              <w:t xml:space="preserve">Радионуклиды</w:t>
            </w:r>
          </w:p>
        </w:tc>
        <w:tc>
          <w:tcPr>
            <w:gridSpan w:val="5"/>
            <w:tcW w:w="3911" w:type="dxa"/>
          </w:tcPr>
          <w:p>
            <w:pPr>
              <w:pStyle w:val="0"/>
              <w:jc w:val="center"/>
            </w:pPr>
            <w:r>
              <w:rPr>
                <w:sz w:val="24"/>
              </w:rPr>
              <w:t xml:space="preserve">Атмосферный воздух</w:t>
            </w:r>
          </w:p>
        </w:tc>
        <w:tc>
          <w:tcPr>
            <w:gridSpan w:val="5"/>
            <w:tcW w:w="3430" w:type="dxa"/>
          </w:tcPr>
          <w:p>
            <w:pPr>
              <w:pStyle w:val="0"/>
              <w:jc w:val="center"/>
            </w:pPr>
            <w:r>
              <w:rPr>
                <w:sz w:val="24"/>
              </w:rPr>
              <w:t xml:space="preserve">Вода открытых водоемов</w:t>
            </w:r>
          </w:p>
        </w:tc>
      </w:tr>
      <w:tr>
        <w:tc>
          <w:tcPr>
            <w:vMerge w:val="continue"/>
          </w:tcPr>
          <w:p/>
        </w:tc>
        <w:tc>
          <w:tcPr>
            <w:tcW w:w="737" w:type="dxa"/>
            <w:vMerge w:val="restart"/>
          </w:tcPr>
          <w:p>
            <w:pPr>
              <w:pStyle w:val="0"/>
              <w:jc w:val="center"/>
            </w:pPr>
            <w:r>
              <w:rPr>
                <w:sz w:val="24"/>
              </w:rPr>
              <w:t xml:space="preserve">Число проб</w:t>
            </w:r>
          </w:p>
        </w:tc>
        <w:tc>
          <w:tcPr>
            <w:gridSpan w:val="2"/>
            <w:tcW w:w="1587" w:type="dxa"/>
          </w:tcPr>
          <w:p>
            <w:pPr>
              <w:pStyle w:val="0"/>
              <w:jc w:val="center"/>
            </w:pPr>
            <w:r>
              <w:rPr>
                <w:sz w:val="24"/>
              </w:rPr>
              <w:t xml:space="preserve">Средняя</w:t>
            </w:r>
          </w:p>
        </w:tc>
        <w:tc>
          <w:tcPr>
            <w:gridSpan w:val="2"/>
            <w:tcW w:w="1587" w:type="dxa"/>
          </w:tcPr>
          <w:p>
            <w:pPr>
              <w:pStyle w:val="0"/>
              <w:jc w:val="center"/>
            </w:pPr>
            <w:r>
              <w:rPr>
                <w:sz w:val="24"/>
              </w:rPr>
              <w:t xml:space="preserve">Максимальная</w:t>
            </w:r>
          </w:p>
        </w:tc>
        <w:tc>
          <w:tcPr>
            <w:tcW w:w="737" w:type="dxa"/>
            <w:vMerge w:val="restart"/>
          </w:tcPr>
          <w:p>
            <w:pPr>
              <w:pStyle w:val="0"/>
              <w:jc w:val="center"/>
            </w:pPr>
            <w:r>
              <w:rPr>
                <w:sz w:val="24"/>
              </w:rPr>
              <w:t xml:space="preserve">Число проб</w:t>
            </w:r>
          </w:p>
        </w:tc>
        <w:tc>
          <w:tcPr>
            <w:gridSpan w:val="2"/>
            <w:tcW w:w="1361" w:type="dxa"/>
          </w:tcPr>
          <w:p>
            <w:pPr>
              <w:pStyle w:val="0"/>
              <w:jc w:val="center"/>
            </w:pPr>
            <w:r>
              <w:rPr>
                <w:sz w:val="24"/>
              </w:rPr>
              <w:t xml:space="preserve">Средняя</w:t>
            </w:r>
          </w:p>
        </w:tc>
        <w:tc>
          <w:tcPr>
            <w:gridSpan w:val="2"/>
            <w:tcW w:w="1332" w:type="dxa"/>
          </w:tcPr>
          <w:p>
            <w:pPr>
              <w:pStyle w:val="0"/>
              <w:jc w:val="center"/>
            </w:pPr>
            <w:r>
              <w:rPr>
                <w:sz w:val="24"/>
              </w:rPr>
              <w:t xml:space="preserve">Максимальная</w:t>
            </w:r>
          </w:p>
        </w:tc>
      </w:tr>
      <w:tr>
        <w:tc>
          <w:tcPr>
            <w:vMerge w:val="continue"/>
          </w:tcPr>
          <w:p/>
        </w:tc>
        <w:tc>
          <w:tcPr>
            <w:vMerge w:val="continue"/>
          </w:tcPr>
          <w:p/>
        </w:tc>
        <w:tc>
          <w:tcPr>
            <w:tcW w:w="680" w:type="dxa"/>
          </w:tcPr>
          <w:p>
            <w:pPr>
              <w:pStyle w:val="0"/>
              <w:jc w:val="center"/>
            </w:pPr>
            <w:r>
              <w:rPr>
                <w:sz w:val="24"/>
              </w:rPr>
              <w:t xml:space="preserve">мБк/м</w:t>
            </w:r>
            <w:r>
              <w:rPr>
                <w:sz w:val="24"/>
                <w:vertAlign w:val="superscript"/>
              </w:rPr>
              <w:t xml:space="preserve">3</w:t>
            </w:r>
          </w:p>
        </w:tc>
        <w:tc>
          <w:tcPr>
            <w:tcW w:w="907" w:type="dxa"/>
          </w:tcPr>
          <w:p>
            <w:pPr>
              <w:pStyle w:val="0"/>
              <w:jc w:val="center"/>
            </w:pPr>
            <w:r>
              <w:rPr>
                <w:sz w:val="24"/>
              </w:rPr>
              <w:t xml:space="preserve">в ед. ДОА</w:t>
            </w:r>
            <w:r>
              <w:rPr>
                <w:sz w:val="24"/>
                <w:vertAlign w:val="subscript"/>
              </w:rPr>
              <w:t xml:space="preserve">нас</w:t>
            </w:r>
          </w:p>
        </w:tc>
        <w:tc>
          <w:tcPr>
            <w:tcW w:w="680" w:type="dxa"/>
          </w:tcPr>
          <w:p>
            <w:pPr>
              <w:pStyle w:val="0"/>
              <w:jc w:val="center"/>
            </w:pPr>
            <w:r>
              <w:rPr>
                <w:sz w:val="24"/>
              </w:rPr>
              <w:t xml:space="preserve">мБк/м</w:t>
            </w:r>
            <w:r>
              <w:rPr>
                <w:sz w:val="24"/>
                <w:vertAlign w:val="superscript"/>
              </w:rPr>
              <w:t xml:space="preserve">3</w:t>
            </w:r>
          </w:p>
        </w:tc>
        <w:tc>
          <w:tcPr>
            <w:tcW w:w="907" w:type="dxa"/>
          </w:tcPr>
          <w:p>
            <w:pPr>
              <w:pStyle w:val="0"/>
              <w:jc w:val="center"/>
            </w:pPr>
            <w:r>
              <w:rPr>
                <w:sz w:val="24"/>
              </w:rPr>
              <w:t xml:space="preserve">в ед. ДОА</w:t>
            </w:r>
            <w:r>
              <w:rPr>
                <w:sz w:val="24"/>
                <w:vertAlign w:val="subscript"/>
              </w:rPr>
              <w:t xml:space="preserve">нас</w:t>
            </w:r>
          </w:p>
        </w:tc>
        <w:tc>
          <w:tcPr>
            <w:vMerge w:val="continue"/>
          </w:tcPr>
          <w:p/>
        </w:tc>
        <w:tc>
          <w:tcPr>
            <w:tcW w:w="737" w:type="dxa"/>
          </w:tcPr>
          <w:p>
            <w:pPr>
              <w:pStyle w:val="0"/>
              <w:jc w:val="center"/>
            </w:pPr>
            <w:r>
              <w:rPr>
                <w:sz w:val="24"/>
              </w:rPr>
              <w:t xml:space="preserve">Бк/кг</w:t>
            </w:r>
          </w:p>
        </w:tc>
        <w:tc>
          <w:tcPr>
            <w:tcW w:w="624" w:type="dxa"/>
          </w:tcPr>
          <w:p>
            <w:pPr>
              <w:pStyle w:val="0"/>
              <w:jc w:val="center"/>
            </w:pPr>
            <w:r>
              <w:rPr>
                <w:sz w:val="24"/>
              </w:rPr>
              <w:t xml:space="preserve">в ед. УВ</w:t>
            </w:r>
          </w:p>
        </w:tc>
        <w:tc>
          <w:tcPr>
            <w:tcW w:w="708" w:type="dxa"/>
          </w:tcPr>
          <w:p>
            <w:pPr>
              <w:pStyle w:val="0"/>
              <w:jc w:val="center"/>
            </w:pPr>
            <w:r>
              <w:rPr>
                <w:sz w:val="24"/>
              </w:rPr>
              <w:t xml:space="preserve">Бк/кг</w:t>
            </w:r>
          </w:p>
        </w:tc>
        <w:tc>
          <w:tcPr>
            <w:tcW w:w="624" w:type="dxa"/>
          </w:tcPr>
          <w:p>
            <w:pPr>
              <w:pStyle w:val="0"/>
              <w:jc w:val="center"/>
            </w:pPr>
            <w:r>
              <w:rPr>
                <w:sz w:val="24"/>
              </w:rPr>
              <w:t xml:space="preserve">в ед. УВ</w:t>
            </w:r>
          </w:p>
        </w:tc>
      </w:tr>
      <w:tr>
        <w:tc>
          <w:tcPr>
            <w:tcW w:w="1701" w:type="dxa"/>
          </w:tcPr>
          <w:p>
            <w:pPr>
              <w:pStyle w:val="0"/>
              <w:jc w:val="center"/>
            </w:pPr>
            <w:r>
              <w:rPr>
                <w:sz w:val="24"/>
                <w:vertAlign w:val="superscript"/>
              </w:rPr>
              <w:t xml:space="preserve">137</w:t>
            </w:r>
            <w:r>
              <w:rPr>
                <w:sz w:val="24"/>
              </w:rPr>
              <w:t xml:space="preserve">Cs</w:t>
            </w:r>
          </w:p>
        </w:tc>
        <w:tc>
          <w:tcPr>
            <w:tcW w:w="737" w:type="dxa"/>
          </w:tcPr>
          <w:p>
            <w:pPr>
              <w:pStyle w:val="0"/>
            </w:pPr>
            <w:r>
              <w:rPr>
                <w:sz w:val="24"/>
              </w:rPr>
            </w:r>
          </w:p>
        </w:tc>
        <w:tc>
          <w:tcPr>
            <w:tcW w:w="680" w:type="dxa"/>
          </w:tcPr>
          <w:p>
            <w:pPr>
              <w:pStyle w:val="0"/>
            </w:pPr>
            <w:r>
              <w:rPr>
                <w:sz w:val="24"/>
              </w:rPr>
            </w:r>
          </w:p>
        </w:tc>
        <w:tc>
          <w:tcPr>
            <w:tcW w:w="907" w:type="dxa"/>
          </w:tcPr>
          <w:p>
            <w:pPr>
              <w:pStyle w:val="0"/>
            </w:pPr>
            <w:r>
              <w:rPr>
                <w:sz w:val="24"/>
              </w:rPr>
            </w:r>
          </w:p>
        </w:tc>
        <w:tc>
          <w:tcPr>
            <w:tcW w:w="680" w:type="dxa"/>
          </w:tcPr>
          <w:p>
            <w:pPr>
              <w:pStyle w:val="0"/>
            </w:pPr>
            <w:r>
              <w:rPr>
                <w:sz w:val="24"/>
              </w:rPr>
            </w:r>
          </w:p>
        </w:tc>
        <w:tc>
          <w:tcPr>
            <w:tcW w:w="907" w:type="dxa"/>
          </w:tcPr>
          <w:p>
            <w:pPr>
              <w:pStyle w:val="0"/>
            </w:pPr>
            <w:r>
              <w:rPr>
                <w:sz w:val="24"/>
              </w:rPr>
            </w:r>
          </w:p>
        </w:tc>
        <w:tc>
          <w:tcPr>
            <w:tcW w:w="737" w:type="dxa"/>
          </w:tcPr>
          <w:p>
            <w:pPr>
              <w:pStyle w:val="0"/>
            </w:pPr>
            <w:r>
              <w:rPr>
                <w:sz w:val="24"/>
              </w:rPr>
            </w:r>
          </w:p>
        </w:tc>
        <w:tc>
          <w:tcPr>
            <w:tcW w:w="737" w:type="dxa"/>
          </w:tcPr>
          <w:p>
            <w:pPr>
              <w:pStyle w:val="0"/>
            </w:pPr>
            <w:r>
              <w:rPr>
                <w:sz w:val="24"/>
              </w:rPr>
            </w:r>
          </w:p>
        </w:tc>
        <w:tc>
          <w:tcPr>
            <w:tcW w:w="624" w:type="dxa"/>
          </w:tcPr>
          <w:p>
            <w:pPr>
              <w:pStyle w:val="0"/>
            </w:pPr>
            <w:r>
              <w:rPr>
                <w:sz w:val="24"/>
              </w:rPr>
            </w:r>
          </w:p>
        </w:tc>
        <w:tc>
          <w:tcPr>
            <w:tcW w:w="708" w:type="dxa"/>
          </w:tcPr>
          <w:p>
            <w:pPr>
              <w:pStyle w:val="0"/>
            </w:pPr>
            <w:r>
              <w:rPr>
                <w:sz w:val="24"/>
              </w:rPr>
            </w:r>
          </w:p>
        </w:tc>
        <w:tc>
          <w:tcPr>
            <w:tcW w:w="624" w:type="dxa"/>
          </w:tcPr>
          <w:p>
            <w:pPr>
              <w:pStyle w:val="0"/>
            </w:pPr>
            <w:r>
              <w:rPr>
                <w:sz w:val="24"/>
              </w:rPr>
            </w:r>
          </w:p>
        </w:tc>
      </w:tr>
      <w:tr>
        <w:tc>
          <w:tcPr>
            <w:tcW w:w="1701" w:type="dxa"/>
          </w:tcPr>
          <w:p>
            <w:pPr>
              <w:pStyle w:val="0"/>
              <w:jc w:val="center"/>
            </w:pPr>
            <w:r>
              <w:rPr>
                <w:sz w:val="24"/>
                <w:vertAlign w:val="superscript"/>
              </w:rPr>
              <w:t xml:space="preserve">131</w:t>
            </w:r>
            <w:r>
              <w:rPr>
                <w:sz w:val="24"/>
              </w:rPr>
              <w:t xml:space="preserve">I</w:t>
            </w:r>
          </w:p>
        </w:tc>
        <w:tc>
          <w:tcPr>
            <w:tcW w:w="737" w:type="dxa"/>
          </w:tcPr>
          <w:p>
            <w:pPr>
              <w:pStyle w:val="0"/>
            </w:pPr>
            <w:r>
              <w:rPr>
                <w:sz w:val="24"/>
              </w:rPr>
            </w:r>
          </w:p>
        </w:tc>
        <w:tc>
          <w:tcPr>
            <w:tcW w:w="680" w:type="dxa"/>
          </w:tcPr>
          <w:p>
            <w:pPr>
              <w:pStyle w:val="0"/>
            </w:pPr>
            <w:r>
              <w:rPr>
                <w:sz w:val="24"/>
              </w:rPr>
            </w:r>
          </w:p>
        </w:tc>
        <w:tc>
          <w:tcPr>
            <w:tcW w:w="907" w:type="dxa"/>
          </w:tcPr>
          <w:p>
            <w:pPr>
              <w:pStyle w:val="0"/>
            </w:pPr>
            <w:r>
              <w:rPr>
                <w:sz w:val="24"/>
              </w:rPr>
            </w:r>
          </w:p>
        </w:tc>
        <w:tc>
          <w:tcPr>
            <w:tcW w:w="680" w:type="dxa"/>
          </w:tcPr>
          <w:p>
            <w:pPr>
              <w:pStyle w:val="0"/>
            </w:pPr>
            <w:r>
              <w:rPr>
                <w:sz w:val="24"/>
              </w:rPr>
            </w:r>
          </w:p>
        </w:tc>
        <w:tc>
          <w:tcPr>
            <w:tcW w:w="907" w:type="dxa"/>
          </w:tcPr>
          <w:p>
            <w:pPr>
              <w:pStyle w:val="0"/>
            </w:pPr>
            <w:r>
              <w:rPr>
                <w:sz w:val="24"/>
              </w:rPr>
            </w:r>
          </w:p>
        </w:tc>
        <w:tc>
          <w:tcPr>
            <w:tcW w:w="737" w:type="dxa"/>
          </w:tcPr>
          <w:p>
            <w:pPr>
              <w:pStyle w:val="0"/>
            </w:pPr>
            <w:r>
              <w:rPr>
                <w:sz w:val="24"/>
              </w:rPr>
            </w:r>
          </w:p>
        </w:tc>
        <w:tc>
          <w:tcPr>
            <w:tcW w:w="737" w:type="dxa"/>
          </w:tcPr>
          <w:p>
            <w:pPr>
              <w:pStyle w:val="0"/>
            </w:pPr>
            <w:r>
              <w:rPr>
                <w:sz w:val="24"/>
              </w:rPr>
            </w:r>
          </w:p>
        </w:tc>
        <w:tc>
          <w:tcPr>
            <w:tcW w:w="624" w:type="dxa"/>
          </w:tcPr>
          <w:p>
            <w:pPr>
              <w:pStyle w:val="0"/>
            </w:pPr>
            <w:r>
              <w:rPr>
                <w:sz w:val="24"/>
              </w:rPr>
            </w:r>
          </w:p>
        </w:tc>
        <w:tc>
          <w:tcPr>
            <w:tcW w:w="708" w:type="dxa"/>
          </w:tcPr>
          <w:p>
            <w:pPr>
              <w:pStyle w:val="0"/>
            </w:pPr>
            <w:r>
              <w:rPr>
                <w:sz w:val="24"/>
              </w:rPr>
            </w:r>
          </w:p>
        </w:tc>
        <w:tc>
          <w:tcPr>
            <w:tcW w:w="624" w:type="dxa"/>
          </w:tcPr>
          <w:p>
            <w:pPr>
              <w:pStyle w:val="0"/>
            </w:pPr>
            <w:r>
              <w:rPr>
                <w:sz w:val="24"/>
              </w:rPr>
            </w:r>
          </w:p>
        </w:tc>
      </w:tr>
      <w:tr>
        <w:tc>
          <w:tcPr>
            <w:tcW w:w="1701" w:type="dxa"/>
          </w:tcPr>
          <w:p>
            <w:pPr>
              <w:pStyle w:val="0"/>
              <w:jc w:val="center"/>
            </w:pPr>
            <w:r>
              <w:rPr>
                <w:sz w:val="24"/>
                <w:vertAlign w:val="superscript"/>
              </w:rPr>
              <w:t xml:space="preserve">90</w:t>
            </w:r>
            <w:r>
              <w:rPr>
                <w:sz w:val="24"/>
              </w:rPr>
              <w:t xml:space="preserve">Sr</w:t>
            </w:r>
          </w:p>
        </w:tc>
        <w:tc>
          <w:tcPr>
            <w:tcW w:w="737" w:type="dxa"/>
          </w:tcPr>
          <w:p>
            <w:pPr>
              <w:pStyle w:val="0"/>
            </w:pPr>
            <w:r>
              <w:rPr>
                <w:sz w:val="24"/>
              </w:rPr>
            </w:r>
          </w:p>
        </w:tc>
        <w:tc>
          <w:tcPr>
            <w:tcW w:w="680" w:type="dxa"/>
          </w:tcPr>
          <w:p>
            <w:pPr>
              <w:pStyle w:val="0"/>
            </w:pPr>
            <w:r>
              <w:rPr>
                <w:sz w:val="24"/>
              </w:rPr>
            </w:r>
          </w:p>
        </w:tc>
        <w:tc>
          <w:tcPr>
            <w:tcW w:w="907" w:type="dxa"/>
          </w:tcPr>
          <w:p>
            <w:pPr>
              <w:pStyle w:val="0"/>
            </w:pPr>
            <w:r>
              <w:rPr>
                <w:sz w:val="24"/>
              </w:rPr>
            </w:r>
          </w:p>
        </w:tc>
        <w:tc>
          <w:tcPr>
            <w:tcW w:w="680" w:type="dxa"/>
          </w:tcPr>
          <w:p>
            <w:pPr>
              <w:pStyle w:val="0"/>
            </w:pPr>
            <w:r>
              <w:rPr>
                <w:sz w:val="24"/>
              </w:rPr>
            </w:r>
          </w:p>
        </w:tc>
        <w:tc>
          <w:tcPr>
            <w:tcW w:w="907" w:type="dxa"/>
          </w:tcPr>
          <w:p>
            <w:pPr>
              <w:pStyle w:val="0"/>
            </w:pPr>
            <w:r>
              <w:rPr>
                <w:sz w:val="24"/>
              </w:rPr>
            </w:r>
          </w:p>
        </w:tc>
        <w:tc>
          <w:tcPr>
            <w:tcW w:w="737" w:type="dxa"/>
          </w:tcPr>
          <w:p>
            <w:pPr>
              <w:pStyle w:val="0"/>
            </w:pPr>
            <w:r>
              <w:rPr>
                <w:sz w:val="24"/>
              </w:rPr>
            </w:r>
          </w:p>
        </w:tc>
        <w:tc>
          <w:tcPr>
            <w:tcW w:w="737" w:type="dxa"/>
          </w:tcPr>
          <w:p>
            <w:pPr>
              <w:pStyle w:val="0"/>
            </w:pPr>
            <w:r>
              <w:rPr>
                <w:sz w:val="24"/>
              </w:rPr>
            </w:r>
          </w:p>
        </w:tc>
        <w:tc>
          <w:tcPr>
            <w:tcW w:w="624" w:type="dxa"/>
          </w:tcPr>
          <w:p>
            <w:pPr>
              <w:pStyle w:val="0"/>
            </w:pPr>
            <w:r>
              <w:rPr>
                <w:sz w:val="24"/>
              </w:rPr>
            </w:r>
          </w:p>
        </w:tc>
        <w:tc>
          <w:tcPr>
            <w:tcW w:w="708" w:type="dxa"/>
          </w:tcPr>
          <w:p>
            <w:pPr>
              <w:pStyle w:val="0"/>
            </w:pPr>
            <w:r>
              <w:rPr>
                <w:sz w:val="24"/>
              </w:rPr>
            </w:r>
          </w:p>
        </w:tc>
        <w:tc>
          <w:tcPr>
            <w:tcW w:w="624" w:type="dxa"/>
          </w:tcPr>
          <w:p>
            <w:pPr>
              <w:pStyle w:val="0"/>
            </w:pPr>
            <w:r>
              <w:rPr>
                <w:sz w:val="24"/>
              </w:rPr>
            </w:r>
          </w:p>
        </w:tc>
      </w:tr>
      <w:tr>
        <w:tc>
          <w:tcPr>
            <w:tcW w:w="1701" w:type="dxa"/>
          </w:tcPr>
          <w:p>
            <w:pPr>
              <w:pStyle w:val="0"/>
              <w:jc w:val="center"/>
            </w:pPr>
            <w:r>
              <w:rPr>
                <w:sz w:val="24"/>
                <w:vertAlign w:val="superscript"/>
              </w:rPr>
              <w:t xml:space="preserve">3</w:t>
            </w:r>
            <w:r>
              <w:rPr>
                <w:sz w:val="24"/>
              </w:rPr>
              <w:t xml:space="preserve">H</w:t>
            </w:r>
          </w:p>
        </w:tc>
        <w:tc>
          <w:tcPr>
            <w:tcW w:w="737" w:type="dxa"/>
          </w:tcPr>
          <w:p>
            <w:pPr>
              <w:pStyle w:val="0"/>
            </w:pPr>
            <w:r>
              <w:rPr>
                <w:sz w:val="24"/>
              </w:rPr>
            </w:r>
          </w:p>
        </w:tc>
        <w:tc>
          <w:tcPr>
            <w:tcW w:w="680" w:type="dxa"/>
          </w:tcPr>
          <w:p>
            <w:pPr>
              <w:pStyle w:val="0"/>
            </w:pPr>
            <w:r>
              <w:rPr>
                <w:sz w:val="24"/>
              </w:rPr>
            </w:r>
          </w:p>
        </w:tc>
        <w:tc>
          <w:tcPr>
            <w:tcW w:w="907" w:type="dxa"/>
          </w:tcPr>
          <w:p>
            <w:pPr>
              <w:pStyle w:val="0"/>
            </w:pPr>
            <w:r>
              <w:rPr>
                <w:sz w:val="24"/>
              </w:rPr>
            </w:r>
          </w:p>
        </w:tc>
        <w:tc>
          <w:tcPr>
            <w:tcW w:w="680" w:type="dxa"/>
          </w:tcPr>
          <w:p>
            <w:pPr>
              <w:pStyle w:val="0"/>
            </w:pPr>
            <w:r>
              <w:rPr>
                <w:sz w:val="24"/>
              </w:rPr>
            </w:r>
          </w:p>
        </w:tc>
        <w:tc>
          <w:tcPr>
            <w:tcW w:w="907" w:type="dxa"/>
          </w:tcPr>
          <w:p>
            <w:pPr>
              <w:pStyle w:val="0"/>
            </w:pPr>
            <w:r>
              <w:rPr>
                <w:sz w:val="24"/>
              </w:rPr>
            </w:r>
          </w:p>
        </w:tc>
        <w:tc>
          <w:tcPr>
            <w:tcW w:w="737" w:type="dxa"/>
          </w:tcPr>
          <w:p>
            <w:pPr>
              <w:pStyle w:val="0"/>
            </w:pPr>
            <w:r>
              <w:rPr>
                <w:sz w:val="24"/>
              </w:rPr>
            </w:r>
          </w:p>
        </w:tc>
        <w:tc>
          <w:tcPr>
            <w:tcW w:w="737" w:type="dxa"/>
          </w:tcPr>
          <w:p>
            <w:pPr>
              <w:pStyle w:val="0"/>
            </w:pPr>
            <w:r>
              <w:rPr>
                <w:sz w:val="24"/>
              </w:rPr>
            </w:r>
          </w:p>
        </w:tc>
        <w:tc>
          <w:tcPr>
            <w:tcW w:w="624" w:type="dxa"/>
          </w:tcPr>
          <w:p>
            <w:pPr>
              <w:pStyle w:val="0"/>
            </w:pPr>
            <w:r>
              <w:rPr>
                <w:sz w:val="24"/>
              </w:rPr>
            </w:r>
          </w:p>
        </w:tc>
        <w:tc>
          <w:tcPr>
            <w:tcW w:w="708" w:type="dxa"/>
          </w:tcPr>
          <w:p>
            <w:pPr>
              <w:pStyle w:val="0"/>
            </w:pPr>
            <w:r>
              <w:rPr>
                <w:sz w:val="24"/>
              </w:rPr>
            </w:r>
          </w:p>
        </w:tc>
        <w:tc>
          <w:tcPr>
            <w:tcW w:w="624" w:type="dxa"/>
          </w:tcPr>
          <w:p>
            <w:pPr>
              <w:pStyle w:val="0"/>
            </w:pPr>
            <w:r>
              <w:rPr>
                <w:sz w:val="24"/>
              </w:rPr>
            </w:r>
          </w:p>
        </w:tc>
      </w:tr>
      <w:tr>
        <w:tc>
          <w:tcPr>
            <w:tcW w:w="1701" w:type="dxa"/>
          </w:tcPr>
          <w:p>
            <w:pPr>
              <w:pStyle w:val="0"/>
              <w:jc w:val="center"/>
            </w:pPr>
            <w:r>
              <w:rPr>
                <w:sz w:val="24"/>
              </w:rPr>
              <w:t xml:space="preserve">САА</w:t>
            </w:r>
          </w:p>
        </w:tc>
        <w:tc>
          <w:tcPr>
            <w:tcW w:w="737" w:type="dxa"/>
          </w:tcPr>
          <w:p>
            <w:pPr>
              <w:pStyle w:val="0"/>
            </w:pPr>
            <w:r>
              <w:rPr>
                <w:sz w:val="24"/>
              </w:rPr>
            </w:r>
          </w:p>
        </w:tc>
        <w:tc>
          <w:tcPr>
            <w:tcW w:w="680" w:type="dxa"/>
          </w:tcPr>
          <w:p>
            <w:pPr>
              <w:pStyle w:val="0"/>
            </w:pPr>
            <w:r>
              <w:rPr>
                <w:sz w:val="24"/>
              </w:rPr>
            </w:r>
          </w:p>
        </w:tc>
        <w:tc>
          <w:tcPr>
            <w:tcW w:w="907" w:type="dxa"/>
          </w:tcPr>
          <w:p>
            <w:pPr>
              <w:pStyle w:val="0"/>
            </w:pPr>
            <w:r>
              <w:rPr>
                <w:sz w:val="24"/>
              </w:rPr>
            </w:r>
          </w:p>
        </w:tc>
        <w:tc>
          <w:tcPr>
            <w:tcW w:w="680" w:type="dxa"/>
          </w:tcPr>
          <w:p>
            <w:pPr>
              <w:pStyle w:val="0"/>
            </w:pPr>
            <w:r>
              <w:rPr>
                <w:sz w:val="24"/>
              </w:rPr>
            </w:r>
          </w:p>
        </w:tc>
        <w:tc>
          <w:tcPr>
            <w:tcW w:w="907" w:type="dxa"/>
          </w:tcPr>
          <w:p>
            <w:pPr>
              <w:pStyle w:val="0"/>
            </w:pPr>
            <w:r>
              <w:rPr>
                <w:sz w:val="24"/>
              </w:rPr>
            </w:r>
          </w:p>
        </w:tc>
        <w:tc>
          <w:tcPr>
            <w:tcW w:w="737" w:type="dxa"/>
          </w:tcPr>
          <w:p>
            <w:pPr>
              <w:pStyle w:val="0"/>
            </w:pPr>
            <w:r>
              <w:rPr>
                <w:sz w:val="24"/>
              </w:rPr>
            </w:r>
          </w:p>
        </w:tc>
        <w:tc>
          <w:tcPr>
            <w:tcW w:w="737" w:type="dxa"/>
          </w:tcPr>
          <w:p>
            <w:pPr>
              <w:pStyle w:val="0"/>
            </w:pPr>
            <w:r>
              <w:rPr>
                <w:sz w:val="24"/>
              </w:rPr>
            </w:r>
          </w:p>
        </w:tc>
        <w:tc>
          <w:tcPr>
            <w:tcW w:w="624" w:type="dxa"/>
          </w:tcPr>
          <w:p>
            <w:pPr>
              <w:pStyle w:val="0"/>
            </w:pPr>
            <w:r>
              <w:rPr>
                <w:sz w:val="24"/>
              </w:rPr>
            </w:r>
          </w:p>
        </w:tc>
        <w:tc>
          <w:tcPr>
            <w:tcW w:w="708" w:type="dxa"/>
          </w:tcPr>
          <w:p>
            <w:pPr>
              <w:pStyle w:val="0"/>
            </w:pPr>
            <w:r>
              <w:rPr>
                <w:sz w:val="24"/>
              </w:rPr>
            </w:r>
          </w:p>
        </w:tc>
        <w:tc>
          <w:tcPr>
            <w:tcW w:w="624" w:type="dxa"/>
          </w:tcPr>
          <w:p>
            <w:pPr>
              <w:pStyle w:val="0"/>
            </w:pPr>
            <w:r>
              <w:rPr>
                <w:sz w:val="24"/>
              </w:rPr>
            </w:r>
          </w:p>
        </w:tc>
      </w:tr>
      <w:tr>
        <w:tc>
          <w:tcPr>
            <w:tcW w:w="1701" w:type="dxa"/>
          </w:tcPr>
          <w:p>
            <w:pPr>
              <w:pStyle w:val="0"/>
              <w:jc w:val="center"/>
            </w:pPr>
            <w:r>
              <w:rPr>
                <w:sz w:val="24"/>
              </w:rPr>
              <w:t xml:space="preserve">СБА</w:t>
            </w:r>
          </w:p>
        </w:tc>
        <w:tc>
          <w:tcPr>
            <w:tcW w:w="737" w:type="dxa"/>
          </w:tcPr>
          <w:p>
            <w:pPr>
              <w:pStyle w:val="0"/>
            </w:pPr>
            <w:r>
              <w:rPr>
                <w:sz w:val="24"/>
              </w:rPr>
            </w:r>
          </w:p>
        </w:tc>
        <w:tc>
          <w:tcPr>
            <w:tcW w:w="680" w:type="dxa"/>
          </w:tcPr>
          <w:p>
            <w:pPr>
              <w:pStyle w:val="0"/>
            </w:pPr>
            <w:r>
              <w:rPr>
                <w:sz w:val="24"/>
              </w:rPr>
            </w:r>
          </w:p>
        </w:tc>
        <w:tc>
          <w:tcPr>
            <w:tcW w:w="907" w:type="dxa"/>
          </w:tcPr>
          <w:p>
            <w:pPr>
              <w:pStyle w:val="0"/>
            </w:pPr>
            <w:r>
              <w:rPr>
                <w:sz w:val="24"/>
              </w:rPr>
            </w:r>
          </w:p>
        </w:tc>
        <w:tc>
          <w:tcPr>
            <w:tcW w:w="680" w:type="dxa"/>
          </w:tcPr>
          <w:p>
            <w:pPr>
              <w:pStyle w:val="0"/>
            </w:pPr>
            <w:r>
              <w:rPr>
                <w:sz w:val="24"/>
              </w:rPr>
            </w:r>
          </w:p>
        </w:tc>
        <w:tc>
          <w:tcPr>
            <w:tcW w:w="907" w:type="dxa"/>
          </w:tcPr>
          <w:p>
            <w:pPr>
              <w:pStyle w:val="0"/>
            </w:pPr>
            <w:r>
              <w:rPr>
                <w:sz w:val="24"/>
              </w:rPr>
            </w:r>
          </w:p>
        </w:tc>
        <w:tc>
          <w:tcPr>
            <w:tcW w:w="737" w:type="dxa"/>
          </w:tcPr>
          <w:p>
            <w:pPr>
              <w:pStyle w:val="0"/>
            </w:pPr>
            <w:r>
              <w:rPr>
                <w:sz w:val="24"/>
              </w:rPr>
            </w:r>
          </w:p>
        </w:tc>
        <w:tc>
          <w:tcPr>
            <w:tcW w:w="737" w:type="dxa"/>
          </w:tcPr>
          <w:p>
            <w:pPr>
              <w:pStyle w:val="0"/>
            </w:pPr>
            <w:r>
              <w:rPr>
                <w:sz w:val="24"/>
              </w:rPr>
            </w:r>
          </w:p>
        </w:tc>
        <w:tc>
          <w:tcPr>
            <w:tcW w:w="624" w:type="dxa"/>
          </w:tcPr>
          <w:p>
            <w:pPr>
              <w:pStyle w:val="0"/>
            </w:pPr>
            <w:r>
              <w:rPr>
                <w:sz w:val="24"/>
              </w:rPr>
            </w:r>
          </w:p>
        </w:tc>
        <w:tc>
          <w:tcPr>
            <w:tcW w:w="708" w:type="dxa"/>
          </w:tcPr>
          <w:p>
            <w:pPr>
              <w:pStyle w:val="0"/>
            </w:pPr>
            <w:r>
              <w:rPr>
                <w:sz w:val="24"/>
              </w:rPr>
            </w:r>
          </w:p>
        </w:tc>
        <w:tc>
          <w:tcPr>
            <w:tcW w:w="624" w:type="dxa"/>
          </w:tcPr>
          <w:p>
            <w:pPr>
              <w:pStyle w:val="0"/>
            </w:pPr>
            <w:r>
              <w:rPr>
                <w:sz w:val="24"/>
              </w:rPr>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9071"/>
      </w:tblGrid>
      <w:tr>
        <w:tc>
          <w:tcPr>
            <w:tcW w:w="9071" w:type="dxa"/>
            <w:tcBorders>
              <w:top w:val="nil"/>
              <w:left w:val="nil"/>
              <w:bottom w:val="nil"/>
              <w:right w:val="nil"/>
            </w:tcBorders>
          </w:tcPr>
          <w:bookmarkStart w:id="466" w:name="P466"/>
          <w:bookmarkEnd w:id="466"/>
          <w:p>
            <w:pPr>
              <w:pStyle w:val="0"/>
              <w:outlineLvl w:val="2"/>
              <w:jc w:val="both"/>
            </w:pPr>
            <w:r>
              <w:rPr>
                <w:sz w:val="24"/>
              </w:rPr>
              <w:t xml:space="preserve">2.5. Среднегодовые объемная активность радионуклидов в воздухе (в мБк/м</w:t>
            </w:r>
            <w:r>
              <w:rPr>
                <w:sz w:val="24"/>
                <w:vertAlign w:val="superscript"/>
              </w:rPr>
              <w:t xml:space="preserve">3</w:t>
            </w:r>
            <w:r>
              <w:rPr>
                <w:sz w:val="24"/>
              </w:rPr>
              <w:t xml:space="preserve"> и в единицах допустимой объемной активности для населения - ДОА</w:t>
            </w:r>
            <w:r>
              <w:rPr>
                <w:sz w:val="24"/>
                <w:vertAlign w:val="subscript"/>
              </w:rPr>
              <w:t xml:space="preserve">нас</w:t>
            </w:r>
            <w:r>
              <w:rPr>
                <w:sz w:val="24"/>
              </w:rPr>
              <w:t xml:space="preserve">) и удельная активность радионуклидов в воде открытых водных объектов (в Бк/кг и в единицах уровней вмешательства - УВ) в зоне наблюдения</w:t>
            </w:r>
          </w:p>
        </w:tc>
      </w:tr>
    </w:tbl>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701"/>
        <w:gridCol w:w="737"/>
        <w:gridCol w:w="680"/>
        <w:gridCol w:w="907"/>
        <w:gridCol w:w="680"/>
        <w:gridCol w:w="907"/>
        <w:gridCol w:w="737"/>
        <w:gridCol w:w="737"/>
        <w:gridCol w:w="624"/>
        <w:gridCol w:w="708"/>
        <w:gridCol w:w="624"/>
      </w:tblGrid>
      <w:tr>
        <w:tc>
          <w:tcPr>
            <w:tcW w:w="1701" w:type="dxa"/>
            <w:vMerge w:val="restart"/>
          </w:tcPr>
          <w:bookmarkStart w:id="468" w:name="P468"/>
          <w:bookmarkEnd w:id="468"/>
          <w:p>
            <w:pPr>
              <w:pStyle w:val="0"/>
              <w:jc w:val="center"/>
            </w:pPr>
            <w:r>
              <w:rPr>
                <w:sz w:val="24"/>
              </w:rPr>
              <w:t xml:space="preserve">Радионуклиды</w:t>
            </w:r>
          </w:p>
        </w:tc>
        <w:tc>
          <w:tcPr>
            <w:gridSpan w:val="5"/>
            <w:tcW w:w="3911" w:type="dxa"/>
          </w:tcPr>
          <w:p>
            <w:pPr>
              <w:pStyle w:val="0"/>
              <w:jc w:val="center"/>
            </w:pPr>
            <w:r>
              <w:rPr>
                <w:sz w:val="24"/>
              </w:rPr>
              <w:t xml:space="preserve">Атмосферный воздух, Бк/м</w:t>
            </w:r>
            <w:r>
              <w:rPr>
                <w:sz w:val="24"/>
                <w:vertAlign w:val="superscript"/>
              </w:rPr>
              <w:t xml:space="preserve">3</w:t>
            </w:r>
          </w:p>
        </w:tc>
        <w:tc>
          <w:tcPr>
            <w:gridSpan w:val="5"/>
            <w:tcW w:w="3430" w:type="dxa"/>
          </w:tcPr>
          <w:p>
            <w:pPr>
              <w:pStyle w:val="0"/>
              <w:jc w:val="center"/>
            </w:pPr>
            <w:r>
              <w:rPr>
                <w:sz w:val="24"/>
              </w:rPr>
              <w:t xml:space="preserve">Вода открытых водоемов, Бк/л</w:t>
            </w:r>
          </w:p>
        </w:tc>
      </w:tr>
      <w:tr>
        <w:tc>
          <w:tcPr>
            <w:vMerge w:val="continue"/>
          </w:tcPr>
          <w:p/>
        </w:tc>
        <w:tc>
          <w:tcPr>
            <w:tcW w:w="737" w:type="dxa"/>
            <w:vMerge w:val="restart"/>
          </w:tcPr>
          <w:p>
            <w:pPr>
              <w:pStyle w:val="0"/>
              <w:jc w:val="center"/>
            </w:pPr>
            <w:r>
              <w:rPr>
                <w:sz w:val="24"/>
              </w:rPr>
              <w:t xml:space="preserve">Число проб</w:t>
            </w:r>
          </w:p>
        </w:tc>
        <w:tc>
          <w:tcPr>
            <w:gridSpan w:val="2"/>
            <w:tcW w:w="1587" w:type="dxa"/>
          </w:tcPr>
          <w:p>
            <w:pPr>
              <w:pStyle w:val="0"/>
              <w:jc w:val="center"/>
            </w:pPr>
            <w:r>
              <w:rPr>
                <w:sz w:val="24"/>
              </w:rPr>
              <w:t xml:space="preserve">Средняя</w:t>
            </w:r>
          </w:p>
        </w:tc>
        <w:tc>
          <w:tcPr>
            <w:gridSpan w:val="2"/>
            <w:tcW w:w="1587" w:type="dxa"/>
          </w:tcPr>
          <w:p>
            <w:pPr>
              <w:pStyle w:val="0"/>
              <w:jc w:val="center"/>
            </w:pPr>
            <w:r>
              <w:rPr>
                <w:sz w:val="24"/>
              </w:rPr>
              <w:t xml:space="preserve">Максимальная</w:t>
            </w:r>
          </w:p>
        </w:tc>
        <w:tc>
          <w:tcPr>
            <w:tcW w:w="737" w:type="dxa"/>
            <w:vMerge w:val="restart"/>
          </w:tcPr>
          <w:p>
            <w:pPr>
              <w:pStyle w:val="0"/>
              <w:jc w:val="center"/>
            </w:pPr>
            <w:r>
              <w:rPr>
                <w:sz w:val="24"/>
              </w:rPr>
              <w:t xml:space="preserve">Число проб</w:t>
            </w:r>
          </w:p>
        </w:tc>
        <w:tc>
          <w:tcPr>
            <w:gridSpan w:val="2"/>
            <w:tcW w:w="1361" w:type="dxa"/>
          </w:tcPr>
          <w:p>
            <w:pPr>
              <w:pStyle w:val="0"/>
              <w:jc w:val="center"/>
            </w:pPr>
            <w:r>
              <w:rPr>
                <w:sz w:val="24"/>
              </w:rPr>
              <w:t xml:space="preserve">Средняя</w:t>
            </w:r>
          </w:p>
        </w:tc>
        <w:tc>
          <w:tcPr>
            <w:gridSpan w:val="2"/>
            <w:tcW w:w="1332" w:type="dxa"/>
          </w:tcPr>
          <w:p>
            <w:pPr>
              <w:pStyle w:val="0"/>
              <w:jc w:val="center"/>
            </w:pPr>
            <w:r>
              <w:rPr>
                <w:sz w:val="24"/>
              </w:rPr>
              <w:t xml:space="preserve">Максимальная</w:t>
            </w:r>
          </w:p>
        </w:tc>
      </w:tr>
      <w:tr>
        <w:tc>
          <w:tcPr>
            <w:vMerge w:val="continue"/>
          </w:tcPr>
          <w:p/>
        </w:tc>
        <w:tc>
          <w:tcPr>
            <w:vMerge w:val="continue"/>
          </w:tcPr>
          <w:p/>
        </w:tc>
        <w:tc>
          <w:tcPr>
            <w:tcW w:w="680" w:type="dxa"/>
          </w:tcPr>
          <w:p>
            <w:pPr>
              <w:pStyle w:val="0"/>
              <w:jc w:val="center"/>
            </w:pPr>
            <w:r>
              <w:rPr>
                <w:sz w:val="24"/>
              </w:rPr>
              <w:t xml:space="preserve">мБк/м</w:t>
            </w:r>
            <w:r>
              <w:rPr>
                <w:sz w:val="24"/>
                <w:vertAlign w:val="superscript"/>
              </w:rPr>
              <w:t xml:space="preserve">3</w:t>
            </w:r>
          </w:p>
        </w:tc>
        <w:tc>
          <w:tcPr>
            <w:tcW w:w="907" w:type="dxa"/>
          </w:tcPr>
          <w:p>
            <w:pPr>
              <w:pStyle w:val="0"/>
              <w:jc w:val="center"/>
            </w:pPr>
            <w:r>
              <w:rPr>
                <w:sz w:val="24"/>
              </w:rPr>
              <w:t xml:space="preserve">в ед. ДОА</w:t>
            </w:r>
            <w:r>
              <w:rPr>
                <w:sz w:val="24"/>
                <w:vertAlign w:val="subscript"/>
              </w:rPr>
              <w:t xml:space="preserve">нас</w:t>
            </w:r>
          </w:p>
        </w:tc>
        <w:tc>
          <w:tcPr>
            <w:tcW w:w="680" w:type="dxa"/>
          </w:tcPr>
          <w:p>
            <w:pPr>
              <w:pStyle w:val="0"/>
              <w:jc w:val="center"/>
            </w:pPr>
            <w:r>
              <w:rPr>
                <w:sz w:val="24"/>
              </w:rPr>
              <w:t xml:space="preserve">мБк/м</w:t>
            </w:r>
            <w:r>
              <w:rPr>
                <w:sz w:val="24"/>
                <w:vertAlign w:val="superscript"/>
              </w:rPr>
              <w:t xml:space="preserve">3</w:t>
            </w:r>
          </w:p>
        </w:tc>
        <w:tc>
          <w:tcPr>
            <w:tcW w:w="907" w:type="dxa"/>
          </w:tcPr>
          <w:p>
            <w:pPr>
              <w:pStyle w:val="0"/>
              <w:jc w:val="center"/>
            </w:pPr>
            <w:r>
              <w:rPr>
                <w:sz w:val="24"/>
              </w:rPr>
              <w:t xml:space="preserve">в ед. ДОА</w:t>
            </w:r>
            <w:r>
              <w:rPr>
                <w:sz w:val="24"/>
                <w:vertAlign w:val="subscript"/>
              </w:rPr>
              <w:t xml:space="preserve">нас</w:t>
            </w:r>
          </w:p>
        </w:tc>
        <w:tc>
          <w:tcPr>
            <w:vMerge w:val="continue"/>
          </w:tcPr>
          <w:p/>
        </w:tc>
        <w:tc>
          <w:tcPr>
            <w:tcW w:w="737" w:type="dxa"/>
          </w:tcPr>
          <w:p>
            <w:pPr>
              <w:pStyle w:val="0"/>
              <w:jc w:val="center"/>
            </w:pPr>
            <w:r>
              <w:rPr>
                <w:sz w:val="24"/>
              </w:rPr>
              <w:t xml:space="preserve">Бк/кг</w:t>
            </w:r>
          </w:p>
        </w:tc>
        <w:tc>
          <w:tcPr>
            <w:tcW w:w="624" w:type="dxa"/>
          </w:tcPr>
          <w:p>
            <w:pPr>
              <w:pStyle w:val="0"/>
              <w:jc w:val="center"/>
            </w:pPr>
            <w:r>
              <w:rPr>
                <w:sz w:val="24"/>
              </w:rPr>
              <w:t xml:space="preserve">в ед. УВ</w:t>
            </w:r>
          </w:p>
        </w:tc>
        <w:tc>
          <w:tcPr>
            <w:tcW w:w="708" w:type="dxa"/>
          </w:tcPr>
          <w:p>
            <w:pPr>
              <w:pStyle w:val="0"/>
              <w:jc w:val="center"/>
            </w:pPr>
            <w:r>
              <w:rPr>
                <w:sz w:val="24"/>
              </w:rPr>
              <w:t xml:space="preserve">Бк/кг</w:t>
            </w:r>
          </w:p>
        </w:tc>
        <w:tc>
          <w:tcPr>
            <w:tcW w:w="624" w:type="dxa"/>
          </w:tcPr>
          <w:p>
            <w:pPr>
              <w:pStyle w:val="0"/>
              <w:jc w:val="center"/>
            </w:pPr>
            <w:r>
              <w:rPr>
                <w:sz w:val="24"/>
              </w:rPr>
              <w:t xml:space="preserve">в ед. УВ</w:t>
            </w:r>
          </w:p>
        </w:tc>
      </w:tr>
      <w:tr>
        <w:tc>
          <w:tcPr>
            <w:tcW w:w="1701" w:type="dxa"/>
          </w:tcPr>
          <w:p>
            <w:pPr>
              <w:pStyle w:val="0"/>
              <w:jc w:val="center"/>
            </w:pPr>
            <w:r>
              <w:rPr>
                <w:sz w:val="24"/>
                <w:vertAlign w:val="superscript"/>
              </w:rPr>
              <w:t xml:space="preserve">137</w:t>
            </w:r>
            <w:r>
              <w:rPr>
                <w:sz w:val="24"/>
              </w:rPr>
              <w:t xml:space="preserve">Cs</w:t>
            </w:r>
          </w:p>
        </w:tc>
        <w:tc>
          <w:tcPr>
            <w:tcW w:w="737" w:type="dxa"/>
          </w:tcPr>
          <w:p>
            <w:pPr>
              <w:pStyle w:val="0"/>
            </w:pPr>
            <w:r>
              <w:rPr>
                <w:sz w:val="24"/>
              </w:rPr>
            </w:r>
          </w:p>
        </w:tc>
        <w:tc>
          <w:tcPr>
            <w:tcW w:w="680" w:type="dxa"/>
          </w:tcPr>
          <w:p>
            <w:pPr>
              <w:pStyle w:val="0"/>
            </w:pPr>
            <w:r>
              <w:rPr>
                <w:sz w:val="24"/>
              </w:rPr>
            </w:r>
          </w:p>
        </w:tc>
        <w:tc>
          <w:tcPr>
            <w:tcW w:w="907" w:type="dxa"/>
          </w:tcPr>
          <w:p>
            <w:pPr>
              <w:pStyle w:val="0"/>
            </w:pPr>
            <w:r>
              <w:rPr>
                <w:sz w:val="24"/>
              </w:rPr>
            </w:r>
          </w:p>
        </w:tc>
        <w:tc>
          <w:tcPr>
            <w:tcW w:w="680" w:type="dxa"/>
          </w:tcPr>
          <w:p>
            <w:pPr>
              <w:pStyle w:val="0"/>
            </w:pPr>
            <w:r>
              <w:rPr>
                <w:sz w:val="24"/>
              </w:rPr>
            </w:r>
          </w:p>
        </w:tc>
        <w:tc>
          <w:tcPr>
            <w:tcW w:w="907" w:type="dxa"/>
          </w:tcPr>
          <w:p>
            <w:pPr>
              <w:pStyle w:val="0"/>
            </w:pPr>
            <w:r>
              <w:rPr>
                <w:sz w:val="24"/>
              </w:rPr>
            </w:r>
          </w:p>
        </w:tc>
        <w:tc>
          <w:tcPr>
            <w:tcW w:w="737" w:type="dxa"/>
          </w:tcPr>
          <w:p>
            <w:pPr>
              <w:pStyle w:val="0"/>
            </w:pPr>
            <w:r>
              <w:rPr>
                <w:sz w:val="24"/>
              </w:rPr>
            </w:r>
          </w:p>
        </w:tc>
        <w:tc>
          <w:tcPr>
            <w:tcW w:w="737" w:type="dxa"/>
          </w:tcPr>
          <w:p>
            <w:pPr>
              <w:pStyle w:val="0"/>
            </w:pPr>
            <w:r>
              <w:rPr>
                <w:sz w:val="24"/>
              </w:rPr>
            </w:r>
          </w:p>
        </w:tc>
        <w:tc>
          <w:tcPr>
            <w:tcW w:w="624" w:type="dxa"/>
          </w:tcPr>
          <w:p>
            <w:pPr>
              <w:pStyle w:val="0"/>
            </w:pPr>
            <w:r>
              <w:rPr>
                <w:sz w:val="24"/>
              </w:rPr>
            </w:r>
          </w:p>
        </w:tc>
        <w:tc>
          <w:tcPr>
            <w:tcW w:w="708" w:type="dxa"/>
          </w:tcPr>
          <w:p>
            <w:pPr>
              <w:pStyle w:val="0"/>
            </w:pPr>
            <w:r>
              <w:rPr>
                <w:sz w:val="24"/>
              </w:rPr>
            </w:r>
          </w:p>
        </w:tc>
        <w:tc>
          <w:tcPr>
            <w:tcW w:w="624" w:type="dxa"/>
          </w:tcPr>
          <w:p>
            <w:pPr>
              <w:pStyle w:val="0"/>
            </w:pPr>
            <w:r>
              <w:rPr>
                <w:sz w:val="24"/>
              </w:rPr>
            </w:r>
          </w:p>
        </w:tc>
      </w:tr>
      <w:tr>
        <w:tc>
          <w:tcPr>
            <w:tcW w:w="1701" w:type="dxa"/>
          </w:tcPr>
          <w:p>
            <w:pPr>
              <w:pStyle w:val="0"/>
              <w:jc w:val="center"/>
            </w:pPr>
            <w:r>
              <w:rPr>
                <w:sz w:val="24"/>
                <w:vertAlign w:val="superscript"/>
              </w:rPr>
              <w:t xml:space="preserve">131</w:t>
            </w:r>
            <w:r>
              <w:rPr>
                <w:sz w:val="24"/>
              </w:rPr>
              <w:t xml:space="preserve">I</w:t>
            </w:r>
          </w:p>
        </w:tc>
        <w:tc>
          <w:tcPr>
            <w:tcW w:w="737" w:type="dxa"/>
          </w:tcPr>
          <w:p>
            <w:pPr>
              <w:pStyle w:val="0"/>
            </w:pPr>
            <w:r>
              <w:rPr>
                <w:sz w:val="24"/>
              </w:rPr>
            </w:r>
          </w:p>
        </w:tc>
        <w:tc>
          <w:tcPr>
            <w:tcW w:w="680" w:type="dxa"/>
          </w:tcPr>
          <w:p>
            <w:pPr>
              <w:pStyle w:val="0"/>
            </w:pPr>
            <w:r>
              <w:rPr>
                <w:sz w:val="24"/>
              </w:rPr>
            </w:r>
          </w:p>
        </w:tc>
        <w:tc>
          <w:tcPr>
            <w:tcW w:w="907" w:type="dxa"/>
          </w:tcPr>
          <w:p>
            <w:pPr>
              <w:pStyle w:val="0"/>
            </w:pPr>
            <w:r>
              <w:rPr>
                <w:sz w:val="24"/>
              </w:rPr>
            </w:r>
          </w:p>
        </w:tc>
        <w:tc>
          <w:tcPr>
            <w:tcW w:w="680" w:type="dxa"/>
          </w:tcPr>
          <w:p>
            <w:pPr>
              <w:pStyle w:val="0"/>
            </w:pPr>
            <w:r>
              <w:rPr>
                <w:sz w:val="24"/>
              </w:rPr>
            </w:r>
          </w:p>
        </w:tc>
        <w:tc>
          <w:tcPr>
            <w:tcW w:w="907" w:type="dxa"/>
          </w:tcPr>
          <w:p>
            <w:pPr>
              <w:pStyle w:val="0"/>
            </w:pPr>
            <w:r>
              <w:rPr>
                <w:sz w:val="24"/>
              </w:rPr>
            </w:r>
          </w:p>
        </w:tc>
        <w:tc>
          <w:tcPr>
            <w:tcW w:w="737" w:type="dxa"/>
          </w:tcPr>
          <w:p>
            <w:pPr>
              <w:pStyle w:val="0"/>
            </w:pPr>
            <w:r>
              <w:rPr>
                <w:sz w:val="24"/>
              </w:rPr>
            </w:r>
          </w:p>
        </w:tc>
        <w:tc>
          <w:tcPr>
            <w:tcW w:w="737" w:type="dxa"/>
          </w:tcPr>
          <w:p>
            <w:pPr>
              <w:pStyle w:val="0"/>
            </w:pPr>
            <w:r>
              <w:rPr>
                <w:sz w:val="24"/>
              </w:rPr>
            </w:r>
          </w:p>
        </w:tc>
        <w:tc>
          <w:tcPr>
            <w:tcW w:w="624" w:type="dxa"/>
          </w:tcPr>
          <w:p>
            <w:pPr>
              <w:pStyle w:val="0"/>
            </w:pPr>
            <w:r>
              <w:rPr>
                <w:sz w:val="24"/>
              </w:rPr>
            </w:r>
          </w:p>
        </w:tc>
        <w:tc>
          <w:tcPr>
            <w:tcW w:w="708" w:type="dxa"/>
          </w:tcPr>
          <w:p>
            <w:pPr>
              <w:pStyle w:val="0"/>
            </w:pPr>
            <w:r>
              <w:rPr>
                <w:sz w:val="24"/>
              </w:rPr>
            </w:r>
          </w:p>
        </w:tc>
        <w:tc>
          <w:tcPr>
            <w:tcW w:w="624" w:type="dxa"/>
          </w:tcPr>
          <w:p>
            <w:pPr>
              <w:pStyle w:val="0"/>
            </w:pPr>
            <w:r>
              <w:rPr>
                <w:sz w:val="24"/>
              </w:rPr>
            </w:r>
          </w:p>
        </w:tc>
      </w:tr>
      <w:tr>
        <w:tc>
          <w:tcPr>
            <w:tcW w:w="1701" w:type="dxa"/>
          </w:tcPr>
          <w:p>
            <w:pPr>
              <w:pStyle w:val="0"/>
              <w:jc w:val="center"/>
            </w:pPr>
            <w:r>
              <w:rPr>
                <w:sz w:val="24"/>
                <w:vertAlign w:val="superscript"/>
              </w:rPr>
              <w:t xml:space="preserve">90</w:t>
            </w:r>
            <w:r>
              <w:rPr>
                <w:sz w:val="24"/>
              </w:rPr>
              <w:t xml:space="preserve">Sr</w:t>
            </w:r>
          </w:p>
        </w:tc>
        <w:tc>
          <w:tcPr>
            <w:tcW w:w="737" w:type="dxa"/>
          </w:tcPr>
          <w:p>
            <w:pPr>
              <w:pStyle w:val="0"/>
            </w:pPr>
            <w:r>
              <w:rPr>
                <w:sz w:val="24"/>
              </w:rPr>
            </w:r>
          </w:p>
        </w:tc>
        <w:tc>
          <w:tcPr>
            <w:tcW w:w="680" w:type="dxa"/>
          </w:tcPr>
          <w:p>
            <w:pPr>
              <w:pStyle w:val="0"/>
            </w:pPr>
            <w:r>
              <w:rPr>
                <w:sz w:val="24"/>
              </w:rPr>
            </w:r>
          </w:p>
        </w:tc>
        <w:tc>
          <w:tcPr>
            <w:tcW w:w="907" w:type="dxa"/>
          </w:tcPr>
          <w:p>
            <w:pPr>
              <w:pStyle w:val="0"/>
            </w:pPr>
            <w:r>
              <w:rPr>
                <w:sz w:val="24"/>
              </w:rPr>
            </w:r>
          </w:p>
        </w:tc>
        <w:tc>
          <w:tcPr>
            <w:tcW w:w="680" w:type="dxa"/>
          </w:tcPr>
          <w:p>
            <w:pPr>
              <w:pStyle w:val="0"/>
            </w:pPr>
            <w:r>
              <w:rPr>
                <w:sz w:val="24"/>
              </w:rPr>
            </w:r>
          </w:p>
        </w:tc>
        <w:tc>
          <w:tcPr>
            <w:tcW w:w="907" w:type="dxa"/>
          </w:tcPr>
          <w:p>
            <w:pPr>
              <w:pStyle w:val="0"/>
            </w:pPr>
            <w:r>
              <w:rPr>
                <w:sz w:val="24"/>
              </w:rPr>
            </w:r>
          </w:p>
        </w:tc>
        <w:tc>
          <w:tcPr>
            <w:tcW w:w="737" w:type="dxa"/>
          </w:tcPr>
          <w:p>
            <w:pPr>
              <w:pStyle w:val="0"/>
            </w:pPr>
            <w:r>
              <w:rPr>
                <w:sz w:val="24"/>
              </w:rPr>
            </w:r>
          </w:p>
        </w:tc>
        <w:tc>
          <w:tcPr>
            <w:tcW w:w="737" w:type="dxa"/>
          </w:tcPr>
          <w:p>
            <w:pPr>
              <w:pStyle w:val="0"/>
            </w:pPr>
            <w:r>
              <w:rPr>
                <w:sz w:val="24"/>
              </w:rPr>
            </w:r>
          </w:p>
        </w:tc>
        <w:tc>
          <w:tcPr>
            <w:tcW w:w="624" w:type="dxa"/>
          </w:tcPr>
          <w:p>
            <w:pPr>
              <w:pStyle w:val="0"/>
            </w:pPr>
            <w:r>
              <w:rPr>
                <w:sz w:val="24"/>
              </w:rPr>
            </w:r>
          </w:p>
        </w:tc>
        <w:tc>
          <w:tcPr>
            <w:tcW w:w="708" w:type="dxa"/>
          </w:tcPr>
          <w:p>
            <w:pPr>
              <w:pStyle w:val="0"/>
            </w:pPr>
            <w:r>
              <w:rPr>
                <w:sz w:val="24"/>
              </w:rPr>
            </w:r>
          </w:p>
        </w:tc>
        <w:tc>
          <w:tcPr>
            <w:tcW w:w="624" w:type="dxa"/>
          </w:tcPr>
          <w:p>
            <w:pPr>
              <w:pStyle w:val="0"/>
            </w:pPr>
            <w:r>
              <w:rPr>
                <w:sz w:val="24"/>
              </w:rPr>
            </w:r>
          </w:p>
        </w:tc>
      </w:tr>
      <w:tr>
        <w:tc>
          <w:tcPr>
            <w:tcW w:w="1701" w:type="dxa"/>
          </w:tcPr>
          <w:p>
            <w:pPr>
              <w:pStyle w:val="0"/>
              <w:jc w:val="center"/>
            </w:pPr>
            <w:r>
              <w:rPr>
                <w:sz w:val="24"/>
                <w:vertAlign w:val="superscript"/>
              </w:rPr>
              <w:t xml:space="preserve">3</w:t>
            </w:r>
            <w:r>
              <w:rPr>
                <w:sz w:val="24"/>
              </w:rPr>
              <w:t xml:space="preserve">H</w:t>
            </w:r>
          </w:p>
        </w:tc>
        <w:tc>
          <w:tcPr>
            <w:tcW w:w="737" w:type="dxa"/>
          </w:tcPr>
          <w:p>
            <w:pPr>
              <w:pStyle w:val="0"/>
            </w:pPr>
            <w:r>
              <w:rPr>
                <w:sz w:val="24"/>
              </w:rPr>
            </w:r>
          </w:p>
        </w:tc>
        <w:tc>
          <w:tcPr>
            <w:tcW w:w="680" w:type="dxa"/>
          </w:tcPr>
          <w:p>
            <w:pPr>
              <w:pStyle w:val="0"/>
            </w:pPr>
            <w:r>
              <w:rPr>
                <w:sz w:val="24"/>
              </w:rPr>
            </w:r>
          </w:p>
        </w:tc>
        <w:tc>
          <w:tcPr>
            <w:tcW w:w="907" w:type="dxa"/>
          </w:tcPr>
          <w:p>
            <w:pPr>
              <w:pStyle w:val="0"/>
            </w:pPr>
            <w:r>
              <w:rPr>
                <w:sz w:val="24"/>
              </w:rPr>
            </w:r>
          </w:p>
        </w:tc>
        <w:tc>
          <w:tcPr>
            <w:tcW w:w="680" w:type="dxa"/>
          </w:tcPr>
          <w:p>
            <w:pPr>
              <w:pStyle w:val="0"/>
            </w:pPr>
            <w:r>
              <w:rPr>
                <w:sz w:val="24"/>
              </w:rPr>
            </w:r>
          </w:p>
        </w:tc>
        <w:tc>
          <w:tcPr>
            <w:tcW w:w="907" w:type="dxa"/>
          </w:tcPr>
          <w:p>
            <w:pPr>
              <w:pStyle w:val="0"/>
            </w:pPr>
            <w:r>
              <w:rPr>
                <w:sz w:val="24"/>
              </w:rPr>
            </w:r>
          </w:p>
        </w:tc>
        <w:tc>
          <w:tcPr>
            <w:tcW w:w="737" w:type="dxa"/>
          </w:tcPr>
          <w:p>
            <w:pPr>
              <w:pStyle w:val="0"/>
            </w:pPr>
            <w:r>
              <w:rPr>
                <w:sz w:val="24"/>
              </w:rPr>
            </w:r>
          </w:p>
        </w:tc>
        <w:tc>
          <w:tcPr>
            <w:tcW w:w="737" w:type="dxa"/>
          </w:tcPr>
          <w:p>
            <w:pPr>
              <w:pStyle w:val="0"/>
            </w:pPr>
            <w:r>
              <w:rPr>
                <w:sz w:val="24"/>
              </w:rPr>
            </w:r>
          </w:p>
        </w:tc>
        <w:tc>
          <w:tcPr>
            <w:tcW w:w="624" w:type="dxa"/>
          </w:tcPr>
          <w:p>
            <w:pPr>
              <w:pStyle w:val="0"/>
            </w:pPr>
            <w:r>
              <w:rPr>
                <w:sz w:val="24"/>
              </w:rPr>
            </w:r>
          </w:p>
        </w:tc>
        <w:tc>
          <w:tcPr>
            <w:tcW w:w="708" w:type="dxa"/>
          </w:tcPr>
          <w:p>
            <w:pPr>
              <w:pStyle w:val="0"/>
            </w:pPr>
            <w:r>
              <w:rPr>
                <w:sz w:val="24"/>
              </w:rPr>
            </w:r>
          </w:p>
        </w:tc>
        <w:tc>
          <w:tcPr>
            <w:tcW w:w="624" w:type="dxa"/>
          </w:tcPr>
          <w:p>
            <w:pPr>
              <w:pStyle w:val="0"/>
            </w:pPr>
            <w:r>
              <w:rPr>
                <w:sz w:val="24"/>
              </w:rPr>
            </w:r>
          </w:p>
        </w:tc>
      </w:tr>
      <w:tr>
        <w:tc>
          <w:tcPr>
            <w:tcW w:w="1701" w:type="dxa"/>
          </w:tcPr>
          <w:p>
            <w:pPr>
              <w:pStyle w:val="0"/>
              <w:jc w:val="center"/>
            </w:pPr>
            <w:r>
              <w:rPr>
                <w:sz w:val="24"/>
              </w:rPr>
              <w:t xml:space="preserve">САА</w:t>
            </w:r>
          </w:p>
        </w:tc>
        <w:tc>
          <w:tcPr>
            <w:tcW w:w="737" w:type="dxa"/>
          </w:tcPr>
          <w:p>
            <w:pPr>
              <w:pStyle w:val="0"/>
            </w:pPr>
            <w:r>
              <w:rPr>
                <w:sz w:val="24"/>
              </w:rPr>
            </w:r>
          </w:p>
        </w:tc>
        <w:tc>
          <w:tcPr>
            <w:tcW w:w="680" w:type="dxa"/>
          </w:tcPr>
          <w:p>
            <w:pPr>
              <w:pStyle w:val="0"/>
            </w:pPr>
            <w:r>
              <w:rPr>
                <w:sz w:val="24"/>
              </w:rPr>
            </w:r>
          </w:p>
        </w:tc>
        <w:tc>
          <w:tcPr>
            <w:tcW w:w="907" w:type="dxa"/>
          </w:tcPr>
          <w:p>
            <w:pPr>
              <w:pStyle w:val="0"/>
            </w:pPr>
            <w:r>
              <w:rPr>
                <w:sz w:val="24"/>
              </w:rPr>
            </w:r>
          </w:p>
        </w:tc>
        <w:tc>
          <w:tcPr>
            <w:tcW w:w="680" w:type="dxa"/>
          </w:tcPr>
          <w:p>
            <w:pPr>
              <w:pStyle w:val="0"/>
            </w:pPr>
            <w:r>
              <w:rPr>
                <w:sz w:val="24"/>
              </w:rPr>
            </w:r>
          </w:p>
        </w:tc>
        <w:tc>
          <w:tcPr>
            <w:tcW w:w="907" w:type="dxa"/>
          </w:tcPr>
          <w:p>
            <w:pPr>
              <w:pStyle w:val="0"/>
            </w:pPr>
            <w:r>
              <w:rPr>
                <w:sz w:val="24"/>
              </w:rPr>
            </w:r>
          </w:p>
        </w:tc>
        <w:tc>
          <w:tcPr>
            <w:tcW w:w="737" w:type="dxa"/>
          </w:tcPr>
          <w:p>
            <w:pPr>
              <w:pStyle w:val="0"/>
            </w:pPr>
            <w:r>
              <w:rPr>
                <w:sz w:val="24"/>
              </w:rPr>
            </w:r>
          </w:p>
        </w:tc>
        <w:tc>
          <w:tcPr>
            <w:tcW w:w="737" w:type="dxa"/>
          </w:tcPr>
          <w:p>
            <w:pPr>
              <w:pStyle w:val="0"/>
            </w:pPr>
            <w:r>
              <w:rPr>
                <w:sz w:val="24"/>
              </w:rPr>
            </w:r>
          </w:p>
        </w:tc>
        <w:tc>
          <w:tcPr>
            <w:tcW w:w="624" w:type="dxa"/>
          </w:tcPr>
          <w:p>
            <w:pPr>
              <w:pStyle w:val="0"/>
            </w:pPr>
            <w:r>
              <w:rPr>
                <w:sz w:val="24"/>
              </w:rPr>
            </w:r>
          </w:p>
        </w:tc>
        <w:tc>
          <w:tcPr>
            <w:tcW w:w="708" w:type="dxa"/>
          </w:tcPr>
          <w:p>
            <w:pPr>
              <w:pStyle w:val="0"/>
            </w:pPr>
            <w:r>
              <w:rPr>
                <w:sz w:val="24"/>
              </w:rPr>
            </w:r>
          </w:p>
        </w:tc>
        <w:tc>
          <w:tcPr>
            <w:tcW w:w="624" w:type="dxa"/>
          </w:tcPr>
          <w:p>
            <w:pPr>
              <w:pStyle w:val="0"/>
            </w:pPr>
            <w:r>
              <w:rPr>
                <w:sz w:val="24"/>
              </w:rPr>
            </w:r>
          </w:p>
        </w:tc>
      </w:tr>
      <w:tr>
        <w:tc>
          <w:tcPr>
            <w:tcW w:w="1701" w:type="dxa"/>
          </w:tcPr>
          <w:p>
            <w:pPr>
              <w:pStyle w:val="0"/>
              <w:jc w:val="center"/>
            </w:pPr>
            <w:r>
              <w:rPr>
                <w:sz w:val="24"/>
              </w:rPr>
              <w:t xml:space="preserve">СБА</w:t>
            </w:r>
          </w:p>
        </w:tc>
        <w:tc>
          <w:tcPr>
            <w:tcW w:w="737" w:type="dxa"/>
          </w:tcPr>
          <w:p>
            <w:pPr>
              <w:pStyle w:val="0"/>
            </w:pPr>
            <w:r>
              <w:rPr>
                <w:sz w:val="24"/>
              </w:rPr>
            </w:r>
          </w:p>
        </w:tc>
        <w:tc>
          <w:tcPr>
            <w:tcW w:w="680" w:type="dxa"/>
          </w:tcPr>
          <w:p>
            <w:pPr>
              <w:pStyle w:val="0"/>
            </w:pPr>
            <w:r>
              <w:rPr>
                <w:sz w:val="24"/>
              </w:rPr>
            </w:r>
          </w:p>
        </w:tc>
        <w:tc>
          <w:tcPr>
            <w:tcW w:w="907" w:type="dxa"/>
          </w:tcPr>
          <w:p>
            <w:pPr>
              <w:pStyle w:val="0"/>
            </w:pPr>
            <w:r>
              <w:rPr>
                <w:sz w:val="24"/>
              </w:rPr>
            </w:r>
          </w:p>
        </w:tc>
        <w:tc>
          <w:tcPr>
            <w:tcW w:w="680" w:type="dxa"/>
          </w:tcPr>
          <w:p>
            <w:pPr>
              <w:pStyle w:val="0"/>
            </w:pPr>
            <w:r>
              <w:rPr>
                <w:sz w:val="24"/>
              </w:rPr>
            </w:r>
          </w:p>
        </w:tc>
        <w:tc>
          <w:tcPr>
            <w:tcW w:w="907" w:type="dxa"/>
          </w:tcPr>
          <w:p>
            <w:pPr>
              <w:pStyle w:val="0"/>
            </w:pPr>
            <w:r>
              <w:rPr>
                <w:sz w:val="24"/>
              </w:rPr>
            </w:r>
          </w:p>
        </w:tc>
        <w:tc>
          <w:tcPr>
            <w:tcW w:w="737" w:type="dxa"/>
          </w:tcPr>
          <w:p>
            <w:pPr>
              <w:pStyle w:val="0"/>
            </w:pPr>
            <w:r>
              <w:rPr>
                <w:sz w:val="24"/>
              </w:rPr>
            </w:r>
          </w:p>
        </w:tc>
        <w:tc>
          <w:tcPr>
            <w:tcW w:w="737" w:type="dxa"/>
          </w:tcPr>
          <w:p>
            <w:pPr>
              <w:pStyle w:val="0"/>
            </w:pPr>
            <w:r>
              <w:rPr>
                <w:sz w:val="24"/>
              </w:rPr>
            </w:r>
          </w:p>
        </w:tc>
        <w:tc>
          <w:tcPr>
            <w:tcW w:w="624" w:type="dxa"/>
          </w:tcPr>
          <w:p>
            <w:pPr>
              <w:pStyle w:val="0"/>
            </w:pPr>
            <w:r>
              <w:rPr>
                <w:sz w:val="24"/>
              </w:rPr>
            </w:r>
          </w:p>
        </w:tc>
        <w:tc>
          <w:tcPr>
            <w:tcW w:w="708" w:type="dxa"/>
          </w:tcPr>
          <w:p>
            <w:pPr>
              <w:pStyle w:val="0"/>
            </w:pPr>
            <w:r>
              <w:rPr>
                <w:sz w:val="24"/>
              </w:rPr>
            </w:r>
          </w:p>
        </w:tc>
        <w:tc>
          <w:tcPr>
            <w:tcW w:w="624" w:type="dxa"/>
          </w:tcPr>
          <w:p>
            <w:pPr>
              <w:pStyle w:val="0"/>
            </w:pPr>
            <w:r>
              <w:rPr>
                <w:sz w:val="24"/>
              </w:rPr>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9071"/>
      </w:tblGrid>
      <w:tr>
        <w:tc>
          <w:tcPr>
            <w:tcW w:w="9071" w:type="dxa"/>
            <w:tcBorders>
              <w:top w:val="nil"/>
              <w:left w:val="nil"/>
              <w:bottom w:val="nil"/>
              <w:right w:val="nil"/>
            </w:tcBorders>
          </w:tcPr>
          <w:bookmarkStart w:id="552" w:name="P552"/>
          <w:bookmarkEnd w:id="552"/>
          <w:p>
            <w:pPr>
              <w:pStyle w:val="0"/>
              <w:outlineLvl w:val="2"/>
              <w:jc w:val="both"/>
            </w:pPr>
            <w:r>
              <w:rPr>
                <w:sz w:val="24"/>
              </w:rPr>
              <w:t xml:space="preserve">2.6. Удельная активность радионуклидов в пищевых продуктах, производимых в зоне наблюдения, Бк/кг</w:t>
            </w:r>
          </w:p>
        </w:tc>
      </w:tr>
    </w:tbl>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871"/>
        <w:gridCol w:w="649"/>
        <w:gridCol w:w="1423"/>
        <w:gridCol w:w="737"/>
        <w:gridCol w:w="737"/>
        <w:gridCol w:w="680"/>
        <w:gridCol w:w="1479"/>
        <w:gridCol w:w="680"/>
        <w:gridCol w:w="794"/>
      </w:tblGrid>
      <w:tr>
        <w:tc>
          <w:tcPr>
            <w:tcW w:w="1871" w:type="dxa"/>
            <w:vMerge w:val="restart"/>
          </w:tcPr>
          <w:bookmarkStart w:id="554" w:name="P554"/>
          <w:bookmarkEnd w:id="554"/>
          <w:p>
            <w:pPr>
              <w:pStyle w:val="0"/>
              <w:jc w:val="center"/>
            </w:pPr>
            <w:r>
              <w:rPr>
                <w:sz w:val="24"/>
              </w:rPr>
              <w:t xml:space="preserve">Пищевые продукты</w:t>
            </w:r>
          </w:p>
        </w:tc>
        <w:tc>
          <w:tcPr>
            <w:gridSpan w:val="4"/>
            <w:tcW w:w="3546" w:type="dxa"/>
          </w:tcPr>
          <w:p>
            <w:pPr>
              <w:pStyle w:val="0"/>
              <w:jc w:val="center"/>
            </w:pPr>
            <w:r>
              <w:rPr>
                <w:sz w:val="24"/>
                <w:vertAlign w:val="superscript"/>
              </w:rPr>
              <w:t xml:space="preserve">137</w:t>
            </w:r>
            <w:r>
              <w:rPr>
                <w:sz w:val="24"/>
              </w:rPr>
              <w:t xml:space="preserve">Cs</w:t>
            </w:r>
          </w:p>
        </w:tc>
        <w:tc>
          <w:tcPr>
            <w:gridSpan w:val="4"/>
            <w:tcW w:w="3633" w:type="dxa"/>
          </w:tcPr>
          <w:p>
            <w:pPr>
              <w:pStyle w:val="0"/>
              <w:jc w:val="center"/>
            </w:pPr>
            <w:r>
              <w:rPr>
                <w:sz w:val="24"/>
                <w:vertAlign w:val="superscript"/>
              </w:rPr>
              <w:t xml:space="preserve">90</w:t>
            </w:r>
            <w:r>
              <w:rPr>
                <w:sz w:val="24"/>
              </w:rPr>
              <w:t xml:space="preserve">Sr</w:t>
            </w:r>
          </w:p>
        </w:tc>
      </w:tr>
      <w:tr>
        <w:tc>
          <w:tcPr>
            <w:vMerge w:val="continue"/>
          </w:tcPr>
          <w:p/>
        </w:tc>
        <w:tc>
          <w:tcPr>
            <w:gridSpan w:val="2"/>
            <w:tcW w:w="2072" w:type="dxa"/>
          </w:tcPr>
          <w:p>
            <w:pPr>
              <w:pStyle w:val="0"/>
              <w:jc w:val="center"/>
            </w:pPr>
            <w:r>
              <w:rPr>
                <w:sz w:val="24"/>
              </w:rPr>
              <w:t xml:space="preserve">Число исследованных проб</w:t>
            </w:r>
          </w:p>
        </w:tc>
        <w:tc>
          <w:tcPr>
            <w:gridSpan w:val="2"/>
            <w:tcW w:w="1474" w:type="dxa"/>
          </w:tcPr>
          <w:p>
            <w:pPr>
              <w:pStyle w:val="0"/>
              <w:jc w:val="center"/>
            </w:pPr>
            <w:r>
              <w:rPr>
                <w:sz w:val="24"/>
              </w:rPr>
              <w:t xml:space="preserve">Удельная активность</w:t>
            </w:r>
          </w:p>
        </w:tc>
        <w:tc>
          <w:tcPr>
            <w:gridSpan w:val="2"/>
            <w:tcW w:w="2159" w:type="dxa"/>
          </w:tcPr>
          <w:p>
            <w:pPr>
              <w:pStyle w:val="0"/>
              <w:jc w:val="center"/>
            </w:pPr>
            <w:r>
              <w:rPr>
                <w:sz w:val="24"/>
              </w:rPr>
              <w:t xml:space="preserve">Число исследованных проб</w:t>
            </w:r>
          </w:p>
        </w:tc>
        <w:tc>
          <w:tcPr>
            <w:gridSpan w:val="2"/>
            <w:tcW w:w="1474" w:type="dxa"/>
          </w:tcPr>
          <w:p>
            <w:pPr>
              <w:pStyle w:val="0"/>
              <w:jc w:val="center"/>
            </w:pPr>
            <w:r>
              <w:rPr>
                <w:sz w:val="24"/>
              </w:rPr>
              <w:t xml:space="preserve">Удельная активность</w:t>
            </w:r>
          </w:p>
        </w:tc>
      </w:tr>
      <w:tr>
        <w:tc>
          <w:tcPr>
            <w:vMerge w:val="continue"/>
          </w:tcPr>
          <w:p/>
        </w:tc>
        <w:tc>
          <w:tcPr>
            <w:tcW w:w="649" w:type="dxa"/>
          </w:tcPr>
          <w:p>
            <w:pPr>
              <w:pStyle w:val="0"/>
              <w:jc w:val="center"/>
            </w:pPr>
            <w:r>
              <w:rPr>
                <w:sz w:val="24"/>
              </w:rPr>
              <w:t xml:space="preserve">Всего</w:t>
            </w:r>
          </w:p>
        </w:tc>
        <w:tc>
          <w:tcPr>
            <w:tcW w:w="1423" w:type="dxa"/>
          </w:tcPr>
          <w:p>
            <w:pPr>
              <w:pStyle w:val="0"/>
              <w:jc w:val="center"/>
            </w:pPr>
            <w:r>
              <w:rPr>
                <w:sz w:val="24"/>
              </w:rPr>
              <w:t xml:space="preserve">с превышением гигиенических нормативов</w:t>
            </w:r>
          </w:p>
        </w:tc>
        <w:tc>
          <w:tcPr>
            <w:tcW w:w="737" w:type="dxa"/>
          </w:tcPr>
          <w:p>
            <w:pPr>
              <w:pStyle w:val="0"/>
              <w:jc w:val="center"/>
            </w:pPr>
            <w:r>
              <w:rPr>
                <w:sz w:val="24"/>
              </w:rPr>
              <w:t xml:space="preserve">Средняя</w:t>
            </w:r>
          </w:p>
        </w:tc>
        <w:tc>
          <w:tcPr>
            <w:tcW w:w="737" w:type="dxa"/>
          </w:tcPr>
          <w:p>
            <w:pPr>
              <w:pStyle w:val="0"/>
              <w:jc w:val="center"/>
            </w:pPr>
            <w:r>
              <w:rPr>
                <w:sz w:val="24"/>
              </w:rPr>
              <w:t xml:space="preserve">Макс.</w:t>
            </w:r>
          </w:p>
        </w:tc>
        <w:tc>
          <w:tcPr>
            <w:tcW w:w="680" w:type="dxa"/>
          </w:tcPr>
          <w:p>
            <w:pPr>
              <w:pStyle w:val="0"/>
              <w:jc w:val="center"/>
            </w:pPr>
            <w:r>
              <w:rPr>
                <w:sz w:val="24"/>
              </w:rPr>
              <w:t xml:space="preserve">Всего</w:t>
            </w:r>
          </w:p>
        </w:tc>
        <w:tc>
          <w:tcPr>
            <w:tcW w:w="1479" w:type="dxa"/>
          </w:tcPr>
          <w:p>
            <w:pPr>
              <w:pStyle w:val="0"/>
              <w:jc w:val="center"/>
            </w:pPr>
            <w:r>
              <w:rPr>
                <w:sz w:val="24"/>
              </w:rPr>
              <w:t xml:space="preserve">с превышением гигиенических нормативов</w:t>
            </w:r>
          </w:p>
        </w:tc>
        <w:tc>
          <w:tcPr>
            <w:tcW w:w="680" w:type="dxa"/>
          </w:tcPr>
          <w:p>
            <w:pPr>
              <w:pStyle w:val="0"/>
              <w:jc w:val="center"/>
            </w:pPr>
            <w:r>
              <w:rPr>
                <w:sz w:val="24"/>
              </w:rPr>
              <w:t xml:space="preserve">Средняя</w:t>
            </w:r>
          </w:p>
        </w:tc>
        <w:tc>
          <w:tcPr>
            <w:tcW w:w="794" w:type="dxa"/>
          </w:tcPr>
          <w:p>
            <w:pPr>
              <w:pStyle w:val="0"/>
              <w:jc w:val="center"/>
            </w:pPr>
            <w:r>
              <w:rPr>
                <w:sz w:val="24"/>
              </w:rPr>
              <w:t xml:space="preserve">Макс.</w:t>
            </w:r>
          </w:p>
        </w:tc>
      </w:tr>
      <w:tr>
        <w:tc>
          <w:tcPr>
            <w:tcW w:w="1871" w:type="dxa"/>
          </w:tcPr>
          <w:p>
            <w:pPr>
              <w:pStyle w:val="0"/>
            </w:pPr>
            <w:r>
              <w:rPr>
                <w:sz w:val="24"/>
              </w:rPr>
              <w:t xml:space="preserve">Молоко</w:t>
            </w:r>
          </w:p>
        </w:tc>
        <w:tc>
          <w:tcPr>
            <w:tcW w:w="649" w:type="dxa"/>
          </w:tcPr>
          <w:p>
            <w:pPr>
              <w:pStyle w:val="0"/>
            </w:pPr>
            <w:r>
              <w:rPr>
                <w:sz w:val="24"/>
              </w:rPr>
            </w:r>
          </w:p>
        </w:tc>
        <w:tc>
          <w:tcPr>
            <w:tcW w:w="1423" w:type="dxa"/>
          </w:tcPr>
          <w:p>
            <w:pPr>
              <w:pStyle w:val="0"/>
            </w:pPr>
            <w:r>
              <w:rPr>
                <w:sz w:val="24"/>
              </w:rPr>
            </w:r>
          </w:p>
        </w:tc>
        <w:tc>
          <w:tcPr>
            <w:tcW w:w="737" w:type="dxa"/>
          </w:tcPr>
          <w:p>
            <w:pPr>
              <w:pStyle w:val="0"/>
            </w:pPr>
            <w:r>
              <w:rPr>
                <w:sz w:val="24"/>
              </w:rPr>
            </w:r>
          </w:p>
        </w:tc>
        <w:tc>
          <w:tcPr>
            <w:tcW w:w="737" w:type="dxa"/>
          </w:tcPr>
          <w:p>
            <w:pPr>
              <w:pStyle w:val="0"/>
            </w:pPr>
            <w:r>
              <w:rPr>
                <w:sz w:val="24"/>
              </w:rPr>
            </w:r>
          </w:p>
        </w:tc>
        <w:tc>
          <w:tcPr>
            <w:tcW w:w="680" w:type="dxa"/>
          </w:tcPr>
          <w:p>
            <w:pPr>
              <w:pStyle w:val="0"/>
            </w:pPr>
            <w:r>
              <w:rPr>
                <w:sz w:val="24"/>
              </w:rPr>
            </w:r>
          </w:p>
        </w:tc>
        <w:tc>
          <w:tcPr>
            <w:tcW w:w="1479" w:type="dxa"/>
          </w:tcPr>
          <w:p>
            <w:pPr>
              <w:pStyle w:val="0"/>
            </w:pPr>
            <w:r>
              <w:rPr>
                <w:sz w:val="24"/>
              </w:rPr>
            </w:r>
          </w:p>
        </w:tc>
        <w:tc>
          <w:tcPr>
            <w:tcW w:w="680" w:type="dxa"/>
          </w:tcPr>
          <w:p>
            <w:pPr>
              <w:pStyle w:val="0"/>
            </w:pPr>
            <w:r>
              <w:rPr>
                <w:sz w:val="24"/>
              </w:rPr>
            </w:r>
          </w:p>
        </w:tc>
        <w:tc>
          <w:tcPr>
            <w:tcW w:w="794" w:type="dxa"/>
          </w:tcPr>
          <w:p>
            <w:pPr>
              <w:pStyle w:val="0"/>
            </w:pPr>
            <w:r>
              <w:rPr>
                <w:sz w:val="24"/>
              </w:rPr>
            </w:r>
          </w:p>
        </w:tc>
      </w:tr>
      <w:tr>
        <w:tc>
          <w:tcPr>
            <w:tcW w:w="1871" w:type="dxa"/>
          </w:tcPr>
          <w:p>
            <w:pPr>
              <w:pStyle w:val="0"/>
            </w:pPr>
            <w:r>
              <w:rPr>
                <w:sz w:val="24"/>
              </w:rPr>
              <w:t xml:space="preserve">Мясо</w:t>
            </w:r>
          </w:p>
        </w:tc>
        <w:tc>
          <w:tcPr>
            <w:tcW w:w="649" w:type="dxa"/>
          </w:tcPr>
          <w:p>
            <w:pPr>
              <w:pStyle w:val="0"/>
            </w:pPr>
            <w:r>
              <w:rPr>
                <w:sz w:val="24"/>
              </w:rPr>
            </w:r>
          </w:p>
        </w:tc>
        <w:tc>
          <w:tcPr>
            <w:tcW w:w="1423" w:type="dxa"/>
          </w:tcPr>
          <w:p>
            <w:pPr>
              <w:pStyle w:val="0"/>
            </w:pPr>
            <w:r>
              <w:rPr>
                <w:sz w:val="24"/>
              </w:rPr>
            </w:r>
          </w:p>
        </w:tc>
        <w:tc>
          <w:tcPr>
            <w:tcW w:w="737" w:type="dxa"/>
          </w:tcPr>
          <w:p>
            <w:pPr>
              <w:pStyle w:val="0"/>
            </w:pPr>
            <w:r>
              <w:rPr>
                <w:sz w:val="24"/>
              </w:rPr>
            </w:r>
          </w:p>
        </w:tc>
        <w:tc>
          <w:tcPr>
            <w:tcW w:w="737" w:type="dxa"/>
          </w:tcPr>
          <w:p>
            <w:pPr>
              <w:pStyle w:val="0"/>
            </w:pPr>
            <w:r>
              <w:rPr>
                <w:sz w:val="24"/>
              </w:rPr>
            </w:r>
          </w:p>
        </w:tc>
        <w:tc>
          <w:tcPr>
            <w:tcW w:w="680" w:type="dxa"/>
          </w:tcPr>
          <w:p>
            <w:pPr>
              <w:pStyle w:val="0"/>
            </w:pPr>
            <w:r>
              <w:rPr>
                <w:sz w:val="24"/>
              </w:rPr>
            </w:r>
          </w:p>
        </w:tc>
        <w:tc>
          <w:tcPr>
            <w:tcW w:w="1479" w:type="dxa"/>
          </w:tcPr>
          <w:p>
            <w:pPr>
              <w:pStyle w:val="0"/>
            </w:pPr>
            <w:r>
              <w:rPr>
                <w:sz w:val="24"/>
              </w:rPr>
            </w:r>
          </w:p>
        </w:tc>
        <w:tc>
          <w:tcPr>
            <w:tcW w:w="680" w:type="dxa"/>
          </w:tcPr>
          <w:p>
            <w:pPr>
              <w:pStyle w:val="0"/>
            </w:pPr>
            <w:r>
              <w:rPr>
                <w:sz w:val="24"/>
              </w:rPr>
            </w:r>
          </w:p>
        </w:tc>
        <w:tc>
          <w:tcPr>
            <w:tcW w:w="794" w:type="dxa"/>
          </w:tcPr>
          <w:p>
            <w:pPr>
              <w:pStyle w:val="0"/>
            </w:pPr>
            <w:r>
              <w:rPr>
                <w:sz w:val="24"/>
              </w:rPr>
            </w:r>
          </w:p>
        </w:tc>
      </w:tr>
      <w:tr>
        <w:tc>
          <w:tcPr>
            <w:tcW w:w="1871" w:type="dxa"/>
          </w:tcPr>
          <w:p>
            <w:pPr>
              <w:pStyle w:val="0"/>
            </w:pPr>
            <w:r>
              <w:rPr>
                <w:sz w:val="24"/>
              </w:rPr>
              <w:t xml:space="preserve">Рыба</w:t>
            </w:r>
          </w:p>
        </w:tc>
        <w:tc>
          <w:tcPr>
            <w:tcW w:w="649" w:type="dxa"/>
          </w:tcPr>
          <w:p>
            <w:pPr>
              <w:pStyle w:val="0"/>
            </w:pPr>
            <w:r>
              <w:rPr>
                <w:sz w:val="24"/>
              </w:rPr>
            </w:r>
          </w:p>
        </w:tc>
        <w:tc>
          <w:tcPr>
            <w:tcW w:w="1423" w:type="dxa"/>
          </w:tcPr>
          <w:p>
            <w:pPr>
              <w:pStyle w:val="0"/>
            </w:pPr>
            <w:r>
              <w:rPr>
                <w:sz w:val="24"/>
              </w:rPr>
            </w:r>
          </w:p>
        </w:tc>
        <w:tc>
          <w:tcPr>
            <w:tcW w:w="737" w:type="dxa"/>
          </w:tcPr>
          <w:p>
            <w:pPr>
              <w:pStyle w:val="0"/>
            </w:pPr>
            <w:r>
              <w:rPr>
                <w:sz w:val="24"/>
              </w:rPr>
            </w:r>
          </w:p>
        </w:tc>
        <w:tc>
          <w:tcPr>
            <w:tcW w:w="737" w:type="dxa"/>
          </w:tcPr>
          <w:p>
            <w:pPr>
              <w:pStyle w:val="0"/>
            </w:pPr>
            <w:r>
              <w:rPr>
                <w:sz w:val="24"/>
              </w:rPr>
            </w:r>
          </w:p>
        </w:tc>
        <w:tc>
          <w:tcPr>
            <w:tcW w:w="680" w:type="dxa"/>
          </w:tcPr>
          <w:p>
            <w:pPr>
              <w:pStyle w:val="0"/>
            </w:pPr>
            <w:r>
              <w:rPr>
                <w:sz w:val="24"/>
              </w:rPr>
            </w:r>
          </w:p>
        </w:tc>
        <w:tc>
          <w:tcPr>
            <w:tcW w:w="1479" w:type="dxa"/>
          </w:tcPr>
          <w:p>
            <w:pPr>
              <w:pStyle w:val="0"/>
            </w:pPr>
            <w:r>
              <w:rPr>
                <w:sz w:val="24"/>
              </w:rPr>
            </w:r>
          </w:p>
        </w:tc>
        <w:tc>
          <w:tcPr>
            <w:tcW w:w="680" w:type="dxa"/>
          </w:tcPr>
          <w:p>
            <w:pPr>
              <w:pStyle w:val="0"/>
            </w:pPr>
            <w:r>
              <w:rPr>
                <w:sz w:val="24"/>
              </w:rPr>
            </w:r>
          </w:p>
        </w:tc>
        <w:tc>
          <w:tcPr>
            <w:tcW w:w="794" w:type="dxa"/>
          </w:tcPr>
          <w:p>
            <w:pPr>
              <w:pStyle w:val="0"/>
            </w:pPr>
            <w:r>
              <w:rPr>
                <w:sz w:val="24"/>
              </w:rPr>
            </w:r>
          </w:p>
        </w:tc>
      </w:tr>
      <w:tr>
        <w:tc>
          <w:tcPr>
            <w:tcW w:w="1871" w:type="dxa"/>
          </w:tcPr>
          <w:p>
            <w:pPr>
              <w:pStyle w:val="0"/>
            </w:pPr>
            <w:r>
              <w:rPr>
                <w:sz w:val="24"/>
              </w:rPr>
              <w:t xml:space="preserve">Хлеб и хлебопродукты</w:t>
            </w:r>
          </w:p>
        </w:tc>
        <w:tc>
          <w:tcPr>
            <w:tcW w:w="649" w:type="dxa"/>
          </w:tcPr>
          <w:p>
            <w:pPr>
              <w:pStyle w:val="0"/>
            </w:pPr>
            <w:r>
              <w:rPr>
                <w:sz w:val="24"/>
              </w:rPr>
            </w:r>
          </w:p>
        </w:tc>
        <w:tc>
          <w:tcPr>
            <w:tcW w:w="1423" w:type="dxa"/>
          </w:tcPr>
          <w:p>
            <w:pPr>
              <w:pStyle w:val="0"/>
            </w:pPr>
            <w:r>
              <w:rPr>
                <w:sz w:val="24"/>
              </w:rPr>
            </w:r>
          </w:p>
        </w:tc>
        <w:tc>
          <w:tcPr>
            <w:tcW w:w="737" w:type="dxa"/>
          </w:tcPr>
          <w:p>
            <w:pPr>
              <w:pStyle w:val="0"/>
            </w:pPr>
            <w:r>
              <w:rPr>
                <w:sz w:val="24"/>
              </w:rPr>
            </w:r>
          </w:p>
        </w:tc>
        <w:tc>
          <w:tcPr>
            <w:tcW w:w="737" w:type="dxa"/>
          </w:tcPr>
          <w:p>
            <w:pPr>
              <w:pStyle w:val="0"/>
            </w:pPr>
            <w:r>
              <w:rPr>
                <w:sz w:val="24"/>
              </w:rPr>
            </w:r>
          </w:p>
        </w:tc>
        <w:tc>
          <w:tcPr>
            <w:tcW w:w="680" w:type="dxa"/>
          </w:tcPr>
          <w:p>
            <w:pPr>
              <w:pStyle w:val="0"/>
            </w:pPr>
            <w:r>
              <w:rPr>
                <w:sz w:val="24"/>
              </w:rPr>
            </w:r>
          </w:p>
        </w:tc>
        <w:tc>
          <w:tcPr>
            <w:tcW w:w="1479" w:type="dxa"/>
          </w:tcPr>
          <w:p>
            <w:pPr>
              <w:pStyle w:val="0"/>
            </w:pPr>
            <w:r>
              <w:rPr>
                <w:sz w:val="24"/>
              </w:rPr>
            </w:r>
          </w:p>
        </w:tc>
        <w:tc>
          <w:tcPr>
            <w:tcW w:w="680" w:type="dxa"/>
          </w:tcPr>
          <w:p>
            <w:pPr>
              <w:pStyle w:val="0"/>
            </w:pPr>
            <w:r>
              <w:rPr>
                <w:sz w:val="24"/>
              </w:rPr>
            </w:r>
          </w:p>
        </w:tc>
        <w:tc>
          <w:tcPr>
            <w:tcW w:w="794" w:type="dxa"/>
          </w:tcPr>
          <w:p>
            <w:pPr>
              <w:pStyle w:val="0"/>
            </w:pPr>
            <w:r>
              <w:rPr>
                <w:sz w:val="24"/>
              </w:rPr>
            </w:r>
          </w:p>
        </w:tc>
      </w:tr>
      <w:tr>
        <w:tc>
          <w:tcPr>
            <w:tcW w:w="1871" w:type="dxa"/>
          </w:tcPr>
          <w:p>
            <w:pPr>
              <w:pStyle w:val="0"/>
            </w:pPr>
            <w:r>
              <w:rPr>
                <w:sz w:val="24"/>
              </w:rPr>
              <w:t xml:space="preserve">Картофель</w:t>
            </w:r>
          </w:p>
        </w:tc>
        <w:tc>
          <w:tcPr>
            <w:tcW w:w="649" w:type="dxa"/>
          </w:tcPr>
          <w:p>
            <w:pPr>
              <w:pStyle w:val="0"/>
            </w:pPr>
            <w:r>
              <w:rPr>
                <w:sz w:val="24"/>
              </w:rPr>
            </w:r>
          </w:p>
        </w:tc>
        <w:tc>
          <w:tcPr>
            <w:tcW w:w="1423" w:type="dxa"/>
          </w:tcPr>
          <w:p>
            <w:pPr>
              <w:pStyle w:val="0"/>
            </w:pPr>
            <w:r>
              <w:rPr>
                <w:sz w:val="24"/>
              </w:rPr>
            </w:r>
          </w:p>
        </w:tc>
        <w:tc>
          <w:tcPr>
            <w:tcW w:w="737" w:type="dxa"/>
          </w:tcPr>
          <w:p>
            <w:pPr>
              <w:pStyle w:val="0"/>
            </w:pPr>
            <w:r>
              <w:rPr>
                <w:sz w:val="24"/>
              </w:rPr>
            </w:r>
          </w:p>
        </w:tc>
        <w:tc>
          <w:tcPr>
            <w:tcW w:w="737" w:type="dxa"/>
          </w:tcPr>
          <w:p>
            <w:pPr>
              <w:pStyle w:val="0"/>
            </w:pPr>
            <w:r>
              <w:rPr>
                <w:sz w:val="24"/>
              </w:rPr>
            </w:r>
          </w:p>
        </w:tc>
        <w:tc>
          <w:tcPr>
            <w:tcW w:w="680" w:type="dxa"/>
          </w:tcPr>
          <w:p>
            <w:pPr>
              <w:pStyle w:val="0"/>
            </w:pPr>
            <w:r>
              <w:rPr>
                <w:sz w:val="24"/>
              </w:rPr>
            </w:r>
          </w:p>
        </w:tc>
        <w:tc>
          <w:tcPr>
            <w:tcW w:w="1479" w:type="dxa"/>
          </w:tcPr>
          <w:p>
            <w:pPr>
              <w:pStyle w:val="0"/>
            </w:pPr>
            <w:r>
              <w:rPr>
                <w:sz w:val="24"/>
              </w:rPr>
            </w:r>
          </w:p>
        </w:tc>
        <w:tc>
          <w:tcPr>
            <w:tcW w:w="680" w:type="dxa"/>
          </w:tcPr>
          <w:p>
            <w:pPr>
              <w:pStyle w:val="0"/>
            </w:pPr>
            <w:r>
              <w:rPr>
                <w:sz w:val="24"/>
              </w:rPr>
            </w:r>
          </w:p>
        </w:tc>
        <w:tc>
          <w:tcPr>
            <w:tcW w:w="794" w:type="dxa"/>
          </w:tcPr>
          <w:p>
            <w:pPr>
              <w:pStyle w:val="0"/>
            </w:pPr>
            <w:r>
              <w:rPr>
                <w:sz w:val="24"/>
              </w:rPr>
            </w:r>
          </w:p>
        </w:tc>
      </w:tr>
      <w:tr>
        <w:tc>
          <w:tcPr>
            <w:tcW w:w="1871" w:type="dxa"/>
          </w:tcPr>
          <w:p>
            <w:pPr>
              <w:pStyle w:val="0"/>
            </w:pPr>
            <w:r>
              <w:rPr>
                <w:sz w:val="24"/>
              </w:rPr>
              <w:t xml:space="preserve">Грибы лесные</w:t>
            </w:r>
          </w:p>
        </w:tc>
        <w:tc>
          <w:tcPr>
            <w:tcW w:w="649" w:type="dxa"/>
          </w:tcPr>
          <w:p>
            <w:pPr>
              <w:pStyle w:val="0"/>
            </w:pPr>
            <w:r>
              <w:rPr>
                <w:sz w:val="24"/>
              </w:rPr>
            </w:r>
          </w:p>
        </w:tc>
        <w:tc>
          <w:tcPr>
            <w:tcW w:w="1423" w:type="dxa"/>
          </w:tcPr>
          <w:p>
            <w:pPr>
              <w:pStyle w:val="0"/>
            </w:pPr>
            <w:r>
              <w:rPr>
                <w:sz w:val="24"/>
              </w:rPr>
            </w:r>
          </w:p>
        </w:tc>
        <w:tc>
          <w:tcPr>
            <w:tcW w:w="737" w:type="dxa"/>
          </w:tcPr>
          <w:p>
            <w:pPr>
              <w:pStyle w:val="0"/>
            </w:pPr>
            <w:r>
              <w:rPr>
                <w:sz w:val="24"/>
              </w:rPr>
            </w:r>
          </w:p>
        </w:tc>
        <w:tc>
          <w:tcPr>
            <w:tcW w:w="737" w:type="dxa"/>
          </w:tcPr>
          <w:p>
            <w:pPr>
              <w:pStyle w:val="0"/>
            </w:pPr>
            <w:r>
              <w:rPr>
                <w:sz w:val="24"/>
              </w:rPr>
            </w:r>
          </w:p>
        </w:tc>
        <w:tc>
          <w:tcPr>
            <w:tcW w:w="680" w:type="dxa"/>
          </w:tcPr>
          <w:p>
            <w:pPr>
              <w:pStyle w:val="0"/>
            </w:pPr>
            <w:r>
              <w:rPr>
                <w:sz w:val="24"/>
              </w:rPr>
            </w:r>
          </w:p>
        </w:tc>
        <w:tc>
          <w:tcPr>
            <w:tcW w:w="1479" w:type="dxa"/>
          </w:tcPr>
          <w:p>
            <w:pPr>
              <w:pStyle w:val="0"/>
            </w:pPr>
            <w:r>
              <w:rPr>
                <w:sz w:val="24"/>
              </w:rPr>
            </w:r>
          </w:p>
        </w:tc>
        <w:tc>
          <w:tcPr>
            <w:tcW w:w="680" w:type="dxa"/>
          </w:tcPr>
          <w:p>
            <w:pPr>
              <w:pStyle w:val="0"/>
            </w:pPr>
            <w:r>
              <w:rPr>
                <w:sz w:val="24"/>
              </w:rPr>
            </w:r>
          </w:p>
        </w:tc>
        <w:tc>
          <w:tcPr>
            <w:tcW w:w="794" w:type="dxa"/>
          </w:tcPr>
          <w:p>
            <w:pPr>
              <w:pStyle w:val="0"/>
            </w:pPr>
            <w:r>
              <w:rPr>
                <w:sz w:val="24"/>
              </w:rPr>
            </w:r>
          </w:p>
        </w:tc>
      </w:tr>
      <w:tr>
        <w:tc>
          <w:tcPr>
            <w:tcW w:w="1871" w:type="dxa"/>
          </w:tcPr>
          <w:p>
            <w:pPr>
              <w:pStyle w:val="0"/>
            </w:pPr>
            <w:r>
              <w:rPr>
                <w:sz w:val="24"/>
              </w:rPr>
              <w:t xml:space="preserve">Ягоды лесные</w:t>
            </w:r>
          </w:p>
        </w:tc>
        <w:tc>
          <w:tcPr>
            <w:tcW w:w="649" w:type="dxa"/>
          </w:tcPr>
          <w:p>
            <w:pPr>
              <w:pStyle w:val="0"/>
            </w:pPr>
            <w:r>
              <w:rPr>
                <w:sz w:val="24"/>
              </w:rPr>
            </w:r>
          </w:p>
        </w:tc>
        <w:tc>
          <w:tcPr>
            <w:tcW w:w="1423" w:type="dxa"/>
          </w:tcPr>
          <w:p>
            <w:pPr>
              <w:pStyle w:val="0"/>
            </w:pPr>
            <w:r>
              <w:rPr>
                <w:sz w:val="24"/>
              </w:rPr>
            </w:r>
          </w:p>
        </w:tc>
        <w:tc>
          <w:tcPr>
            <w:tcW w:w="737" w:type="dxa"/>
          </w:tcPr>
          <w:p>
            <w:pPr>
              <w:pStyle w:val="0"/>
            </w:pPr>
            <w:r>
              <w:rPr>
                <w:sz w:val="24"/>
              </w:rPr>
            </w:r>
          </w:p>
        </w:tc>
        <w:tc>
          <w:tcPr>
            <w:tcW w:w="737" w:type="dxa"/>
          </w:tcPr>
          <w:p>
            <w:pPr>
              <w:pStyle w:val="0"/>
            </w:pPr>
            <w:r>
              <w:rPr>
                <w:sz w:val="24"/>
              </w:rPr>
            </w:r>
          </w:p>
        </w:tc>
        <w:tc>
          <w:tcPr>
            <w:tcW w:w="680" w:type="dxa"/>
          </w:tcPr>
          <w:p>
            <w:pPr>
              <w:pStyle w:val="0"/>
            </w:pPr>
            <w:r>
              <w:rPr>
                <w:sz w:val="24"/>
              </w:rPr>
            </w:r>
          </w:p>
        </w:tc>
        <w:tc>
          <w:tcPr>
            <w:tcW w:w="1479" w:type="dxa"/>
          </w:tcPr>
          <w:p>
            <w:pPr>
              <w:pStyle w:val="0"/>
            </w:pPr>
            <w:r>
              <w:rPr>
                <w:sz w:val="24"/>
              </w:rPr>
            </w:r>
          </w:p>
        </w:tc>
        <w:tc>
          <w:tcPr>
            <w:tcW w:w="680" w:type="dxa"/>
          </w:tcPr>
          <w:p>
            <w:pPr>
              <w:pStyle w:val="0"/>
            </w:pPr>
            <w:r>
              <w:rPr>
                <w:sz w:val="24"/>
              </w:rPr>
            </w:r>
          </w:p>
        </w:tc>
        <w:tc>
          <w:tcPr>
            <w:tcW w:w="794" w:type="dxa"/>
          </w:tcPr>
          <w:p>
            <w:pPr>
              <w:pStyle w:val="0"/>
            </w:pPr>
            <w:r>
              <w:rPr>
                <w:sz w:val="24"/>
              </w:rPr>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9071"/>
      </w:tblGrid>
      <w:tr>
        <w:tc>
          <w:tcPr>
            <w:tcW w:w="9071" w:type="dxa"/>
            <w:tcBorders>
              <w:top w:val="nil"/>
              <w:left w:val="nil"/>
              <w:bottom w:val="nil"/>
              <w:right w:val="nil"/>
            </w:tcBorders>
          </w:tcPr>
          <w:bookmarkStart w:id="633" w:name="P633"/>
          <w:bookmarkEnd w:id="633"/>
          <w:p>
            <w:pPr>
              <w:pStyle w:val="0"/>
              <w:outlineLvl w:val="1"/>
              <w:jc w:val="both"/>
            </w:pPr>
            <w:r>
              <w:rPr>
                <w:sz w:val="24"/>
              </w:rPr>
              <w:t xml:space="preserve">3. Дозы облучения граждан за счет деятельности организации (предприятия)</w:t>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9071"/>
      </w:tblGrid>
      <w:tr>
        <w:tc>
          <w:tcPr>
            <w:tcW w:w="9071" w:type="dxa"/>
            <w:tcBorders>
              <w:top w:val="nil"/>
              <w:left w:val="nil"/>
              <w:bottom w:val="nil"/>
              <w:right w:val="nil"/>
            </w:tcBorders>
          </w:tcPr>
          <w:bookmarkStart w:id="635" w:name="P635"/>
          <w:bookmarkEnd w:id="635"/>
          <w:p>
            <w:pPr>
              <w:pStyle w:val="0"/>
              <w:outlineLvl w:val="2"/>
              <w:jc w:val="both"/>
            </w:pPr>
            <w:r>
              <w:rPr>
                <w:sz w:val="24"/>
              </w:rPr>
              <w:t xml:space="preserve">3.1. Годовые эффективные дозы облучения персонала - лиц, работающих с техногенными источниками (далее по тексту - группа А) и лиц, находящихся по условиям работы в сфере воздействия техногенных источников (далее по тексту группа Б).</w:t>
            </w:r>
          </w:p>
        </w:tc>
      </w:tr>
    </w:tbl>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021"/>
        <w:gridCol w:w="680"/>
        <w:gridCol w:w="756"/>
        <w:gridCol w:w="756"/>
        <w:gridCol w:w="756"/>
        <w:gridCol w:w="756"/>
        <w:gridCol w:w="756"/>
        <w:gridCol w:w="756"/>
        <w:gridCol w:w="758"/>
        <w:gridCol w:w="1077"/>
        <w:gridCol w:w="964"/>
      </w:tblGrid>
      <w:tr>
        <w:tc>
          <w:tcPr>
            <w:tcW w:w="1021" w:type="dxa"/>
            <w:vMerge w:val="restart"/>
          </w:tcPr>
          <w:bookmarkStart w:id="637" w:name="P637"/>
          <w:bookmarkEnd w:id="637"/>
          <w:p>
            <w:pPr>
              <w:pStyle w:val="0"/>
              <w:jc w:val="center"/>
            </w:pPr>
            <w:r>
              <w:rPr>
                <w:sz w:val="24"/>
              </w:rPr>
              <w:t xml:space="preserve">Группа персонала</w:t>
            </w:r>
          </w:p>
        </w:tc>
        <w:tc>
          <w:tcPr>
            <w:tcW w:w="680" w:type="dxa"/>
            <w:vMerge w:val="restart"/>
          </w:tcPr>
          <w:p>
            <w:pPr>
              <w:pStyle w:val="0"/>
              <w:jc w:val="center"/>
            </w:pPr>
            <w:r>
              <w:rPr>
                <w:sz w:val="24"/>
              </w:rPr>
              <w:t xml:space="preserve">Численность</w:t>
            </w:r>
          </w:p>
        </w:tc>
        <w:tc>
          <w:tcPr>
            <w:gridSpan w:val="7"/>
            <w:tcW w:w="5294" w:type="dxa"/>
          </w:tcPr>
          <w:p>
            <w:pPr>
              <w:pStyle w:val="0"/>
              <w:jc w:val="center"/>
            </w:pPr>
            <w:r>
              <w:rPr>
                <w:sz w:val="24"/>
              </w:rPr>
              <w:t xml:space="preserve">Численность персонала (чел.), имеющего индивидуальную дозу в диапазоне:</w:t>
            </w:r>
          </w:p>
        </w:tc>
        <w:tc>
          <w:tcPr>
            <w:tcW w:w="1077" w:type="dxa"/>
            <w:vMerge w:val="restart"/>
          </w:tcPr>
          <w:p>
            <w:pPr>
              <w:pStyle w:val="0"/>
              <w:jc w:val="center"/>
            </w:pPr>
            <w:r>
              <w:rPr>
                <w:sz w:val="24"/>
              </w:rPr>
              <w:t xml:space="preserve">Средняя индивидуальная доза</w:t>
            </w:r>
          </w:p>
        </w:tc>
        <w:tc>
          <w:tcPr>
            <w:tcW w:w="964" w:type="dxa"/>
            <w:vMerge w:val="restart"/>
          </w:tcPr>
          <w:p>
            <w:pPr>
              <w:pStyle w:val="0"/>
              <w:jc w:val="center"/>
            </w:pPr>
            <w:r>
              <w:rPr>
                <w:sz w:val="24"/>
              </w:rPr>
              <w:t xml:space="preserve">Коллективная доза</w:t>
            </w:r>
          </w:p>
        </w:tc>
      </w:tr>
      <w:tr>
        <w:tc>
          <w:tcPr>
            <w:vMerge w:val="continue"/>
          </w:tcPr>
          <w:p/>
        </w:tc>
        <w:tc>
          <w:tcPr>
            <w:vMerge w:val="continue"/>
          </w:tcPr>
          <w:p/>
        </w:tc>
        <w:tc>
          <w:tcPr>
            <w:gridSpan w:val="7"/>
            <w:tcW w:w="5294" w:type="dxa"/>
          </w:tcPr>
          <w:p>
            <w:pPr>
              <w:pStyle w:val="0"/>
              <w:jc w:val="center"/>
            </w:pPr>
            <w:r>
              <w:rPr>
                <w:sz w:val="24"/>
              </w:rPr>
              <w:t xml:space="preserve">мЗв/год</w:t>
            </w:r>
          </w:p>
        </w:tc>
        <w:tc>
          <w:tcPr>
            <w:vMerge w:val="continue"/>
          </w:tcPr>
          <w:p/>
        </w:tc>
        <w:tc>
          <w:tcPr>
            <w:vMerge w:val="continue"/>
          </w:tcPr>
          <w:p/>
        </w:tc>
      </w:tr>
      <w:tr>
        <w:tc>
          <w:tcPr>
            <w:vMerge w:val="continue"/>
          </w:tcPr>
          <w:p/>
        </w:tc>
        <w:tc>
          <w:tcPr>
            <w:tcW w:w="680" w:type="dxa"/>
          </w:tcPr>
          <w:p>
            <w:pPr>
              <w:pStyle w:val="0"/>
              <w:jc w:val="center"/>
            </w:pPr>
            <w:r>
              <w:rPr>
                <w:sz w:val="24"/>
              </w:rPr>
              <w:t xml:space="preserve">чел.</w:t>
            </w:r>
          </w:p>
        </w:tc>
        <w:tc>
          <w:tcPr>
            <w:tcW w:w="756" w:type="dxa"/>
          </w:tcPr>
          <w:p>
            <w:pPr>
              <w:pStyle w:val="0"/>
              <w:jc w:val="center"/>
            </w:pPr>
            <w:r>
              <w:rPr>
                <w:sz w:val="24"/>
              </w:rPr>
              <w:t xml:space="preserve">0 - 1</w:t>
            </w:r>
          </w:p>
        </w:tc>
        <w:tc>
          <w:tcPr>
            <w:tcW w:w="756" w:type="dxa"/>
          </w:tcPr>
          <w:p>
            <w:pPr>
              <w:pStyle w:val="0"/>
              <w:jc w:val="center"/>
            </w:pPr>
            <w:r>
              <w:rPr>
                <w:sz w:val="24"/>
              </w:rPr>
              <w:t xml:space="preserve">1 - 2</w:t>
            </w:r>
          </w:p>
        </w:tc>
        <w:tc>
          <w:tcPr>
            <w:tcW w:w="756" w:type="dxa"/>
          </w:tcPr>
          <w:p>
            <w:pPr>
              <w:pStyle w:val="0"/>
              <w:jc w:val="center"/>
            </w:pPr>
            <w:r>
              <w:rPr>
                <w:sz w:val="24"/>
              </w:rPr>
              <w:t xml:space="preserve">2 - 5</w:t>
            </w:r>
          </w:p>
        </w:tc>
        <w:tc>
          <w:tcPr>
            <w:tcW w:w="756" w:type="dxa"/>
          </w:tcPr>
          <w:p>
            <w:pPr>
              <w:pStyle w:val="0"/>
              <w:jc w:val="center"/>
            </w:pPr>
            <w:r>
              <w:rPr>
                <w:sz w:val="24"/>
              </w:rPr>
              <w:t xml:space="preserve">5 - 12,5</w:t>
            </w:r>
          </w:p>
        </w:tc>
        <w:tc>
          <w:tcPr>
            <w:tcW w:w="756" w:type="dxa"/>
          </w:tcPr>
          <w:p>
            <w:pPr>
              <w:pStyle w:val="0"/>
              <w:jc w:val="center"/>
            </w:pPr>
            <w:r>
              <w:rPr>
                <w:sz w:val="24"/>
              </w:rPr>
              <w:t xml:space="preserve">12,5 - 20</w:t>
            </w:r>
          </w:p>
        </w:tc>
        <w:tc>
          <w:tcPr>
            <w:tcW w:w="756" w:type="dxa"/>
          </w:tcPr>
          <w:p>
            <w:pPr>
              <w:pStyle w:val="0"/>
              <w:jc w:val="center"/>
            </w:pPr>
            <w:r>
              <w:rPr>
                <w:sz w:val="24"/>
              </w:rPr>
              <w:t xml:space="preserve">20 - 50</w:t>
            </w:r>
          </w:p>
        </w:tc>
        <w:tc>
          <w:tcPr>
            <w:tcW w:w="758" w:type="dxa"/>
          </w:tcPr>
          <w:p>
            <w:pPr>
              <w:pStyle w:val="0"/>
              <w:jc w:val="center"/>
            </w:pPr>
            <w:r>
              <w:rPr>
                <w:sz w:val="24"/>
              </w:rPr>
              <w:t xml:space="preserve">&gt; 50</w:t>
            </w:r>
          </w:p>
        </w:tc>
        <w:tc>
          <w:tcPr>
            <w:tcW w:w="1077" w:type="dxa"/>
          </w:tcPr>
          <w:p>
            <w:pPr>
              <w:pStyle w:val="0"/>
              <w:jc w:val="center"/>
            </w:pPr>
            <w:r>
              <w:rPr>
                <w:sz w:val="24"/>
              </w:rPr>
              <w:t xml:space="preserve">мЗв/год</w:t>
            </w:r>
          </w:p>
        </w:tc>
        <w:tc>
          <w:tcPr>
            <w:tcW w:w="964" w:type="dxa"/>
          </w:tcPr>
          <w:p>
            <w:pPr>
              <w:pStyle w:val="0"/>
              <w:jc w:val="center"/>
            </w:pPr>
            <w:r>
              <w:rPr>
                <w:sz w:val="24"/>
              </w:rPr>
              <w:t xml:space="preserve">чел.-Зв/год</w:t>
            </w:r>
          </w:p>
        </w:tc>
      </w:tr>
      <w:tr>
        <w:tc>
          <w:tcPr>
            <w:tcW w:w="1021" w:type="dxa"/>
          </w:tcPr>
          <w:p>
            <w:pPr>
              <w:pStyle w:val="0"/>
              <w:jc w:val="center"/>
            </w:pPr>
            <w:r>
              <w:rPr>
                <w:sz w:val="24"/>
              </w:rPr>
              <w:t xml:space="preserve">Группа А</w:t>
            </w:r>
          </w:p>
        </w:tc>
        <w:tc>
          <w:tcPr>
            <w:tcW w:w="680" w:type="dxa"/>
          </w:tcPr>
          <w:p>
            <w:pPr>
              <w:pStyle w:val="0"/>
            </w:pPr>
            <w:r>
              <w:rPr>
                <w:sz w:val="24"/>
              </w:rPr>
            </w:r>
          </w:p>
        </w:tc>
        <w:tc>
          <w:tcPr>
            <w:tcW w:w="756" w:type="dxa"/>
          </w:tcPr>
          <w:p>
            <w:pPr>
              <w:pStyle w:val="0"/>
            </w:pPr>
            <w:r>
              <w:rPr>
                <w:sz w:val="24"/>
              </w:rPr>
            </w:r>
          </w:p>
        </w:tc>
        <w:tc>
          <w:tcPr>
            <w:tcW w:w="756" w:type="dxa"/>
          </w:tcPr>
          <w:p>
            <w:pPr>
              <w:pStyle w:val="0"/>
            </w:pPr>
            <w:r>
              <w:rPr>
                <w:sz w:val="24"/>
              </w:rPr>
            </w:r>
          </w:p>
        </w:tc>
        <w:tc>
          <w:tcPr>
            <w:tcW w:w="756" w:type="dxa"/>
          </w:tcPr>
          <w:p>
            <w:pPr>
              <w:pStyle w:val="0"/>
            </w:pPr>
            <w:r>
              <w:rPr>
                <w:sz w:val="24"/>
              </w:rPr>
            </w:r>
          </w:p>
        </w:tc>
        <w:tc>
          <w:tcPr>
            <w:tcW w:w="756" w:type="dxa"/>
          </w:tcPr>
          <w:p>
            <w:pPr>
              <w:pStyle w:val="0"/>
            </w:pPr>
            <w:r>
              <w:rPr>
                <w:sz w:val="24"/>
              </w:rPr>
            </w:r>
          </w:p>
        </w:tc>
        <w:tc>
          <w:tcPr>
            <w:tcW w:w="756" w:type="dxa"/>
          </w:tcPr>
          <w:p>
            <w:pPr>
              <w:pStyle w:val="0"/>
            </w:pPr>
            <w:r>
              <w:rPr>
                <w:sz w:val="24"/>
              </w:rPr>
            </w:r>
          </w:p>
        </w:tc>
        <w:tc>
          <w:tcPr>
            <w:tcW w:w="756" w:type="dxa"/>
          </w:tcPr>
          <w:p>
            <w:pPr>
              <w:pStyle w:val="0"/>
            </w:pPr>
            <w:r>
              <w:rPr>
                <w:sz w:val="24"/>
              </w:rPr>
            </w:r>
          </w:p>
        </w:tc>
        <w:tc>
          <w:tcPr>
            <w:tcW w:w="758" w:type="dxa"/>
          </w:tcPr>
          <w:p>
            <w:pPr>
              <w:pStyle w:val="0"/>
            </w:pPr>
            <w:r>
              <w:rPr>
                <w:sz w:val="24"/>
              </w:rPr>
            </w:r>
          </w:p>
        </w:tc>
        <w:tc>
          <w:tcPr>
            <w:tcW w:w="1077" w:type="dxa"/>
          </w:tcPr>
          <w:p>
            <w:pPr>
              <w:pStyle w:val="0"/>
            </w:pPr>
            <w:r>
              <w:rPr>
                <w:sz w:val="24"/>
              </w:rPr>
            </w:r>
          </w:p>
        </w:tc>
        <w:tc>
          <w:tcPr>
            <w:tcW w:w="964" w:type="dxa"/>
          </w:tcPr>
          <w:p>
            <w:pPr>
              <w:pStyle w:val="0"/>
            </w:pPr>
            <w:r>
              <w:rPr>
                <w:sz w:val="24"/>
              </w:rPr>
            </w:r>
          </w:p>
        </w:tc>
      </w:tr>
      <w:tr>
        <w:tc>
          <w:tcPr>
            <w:tcW w:w="1021" w:type="dxa"/>
          </w:tcPr>
          <w:p>
            <w:pPr>
              <w:pStyle w:val="0"/>
              <w:jc w:val="center"/>
            </w:pPr>
            <w:r>
              <w:rPr>
                <w:sz w:val="24"/>
              </w:rPr>
              <w:t xml:space="preserve">Группа Б</w:t>
            </w:r>
          </w:p>
        </w:tc>
        <w:tc>
          <w:tcPr>
            <w:tcW w:w="680" w:type="dxa"/>
          </w:tcPr>
          <w:p>
            <w:pPr>
              <w:pStyle w:val="0"/>
            </w:pPr>
            <w:r>
              <w:rPr>
                <w:sz w:val="24"/>
              </w:rPr>
            </w:r>
          </w:p>
        </w:tc>
        <w:tc>
          <w:tcPr>
            <w:tcW w:w="756" w:type="dxa"/>
          </w:tcPr>
          <w:p>
            <w:pPr>
              <w:pStyle w:val="0"/>
            </w:pPr>
            <w:r>
              <w:rPr>
                <w:sz w:val="24"/>
              </w:rPr>
            </w:r>
          </w:p>
        </w:tc>
        <w:tc>
          <w:tcPr>
            <w:tcW w:w="756" w:type="dxa"/>
          </w:tcPr>
          <w:p>
            <w:pPr>
              <w:pStyle w:val="0"/>
            </w:pPr>
            <w:r>
              <w:rPr>
                <w:sz w:val="24"/>
              </w:rPr>
            </w:r>
          </w:p>
        </w:tc>
        <w:tc>
          <w:tcPr>
            <w:tcW w:w="756" w:type="dxa"/>
          </w:tcPr>
          <w:p>
            <w:pPr>
              <w:pStyle w:val="0"/>
            </w:pPr>
            <w:r>
              <w:rPr>
                <w:sz w:val="24"/>
              </w:rPr>
            </w:r>
          </w:p>
        </w:tc>
        <w:tc>
          <w:tcPr>
            <w:tcW w:w="756" w:type="dxa"/>
          </w:tcPr>
          <w:p>
            <w:pPr>
              <w:pStyle w:val="0"/>
            </w:pPr>
            <w:r>
              <w:rPr>
                <w:sz w:val="24"/>
              </w:rPr>
            </w:r>
          </w:p>
        </w:tc>
        <w:tc>
          <w:tcPr>
            <w:tcW w:w="756" w:type="dxa"/>
          </w:tcPr>
          <w:p>
            <w:pPr>
              <w:pStyle w:val="0"/>
            </w:pPr>
            <w:r>
              <w:rPr>
                <w:sz w:val="24"/>
              </w:rPr>
            </w:r>
          </w:p>
        </w:tc>
        <w:tc>
          <w:tcPr>
            <w:tcW w:w="756" w:type="dxa"/>
          </w:tcPr>
          <w:p>
            <w:pPr>
              <w:pStyle w:val="0"/>
            </w:pPr>
            <w:r>
              <w:rPr>
                <w:sz w:val="24"/>
              </w:rPr>
            </w:r>
          </w:p>
        </w:tc>
        <w:tc>
          <w:tcPr>
            <w:tcW w:w="758" w:type="dxa"/>
          </w:tcPr>
          <w:p>
            <w:pPr>
              <w:pStyle w:val="0"/>
            </w:pPr>
            <w:r>
              <w:rPr>
                <w:sz w:val="24"/>
              </w:rPr>
            </w:r>
          </w:p>
        </w:tc>
        <w:tc>
          <w:tcPr>
            <w:tcW w:w="1077" w:type="dxa"/>
          </w:tcPr>
          <w:p>
            <w:pPr>
              <w:pStyle w:val="0"/>
            </w:pPr>
            <w:r>
              <w:rPr>
                <w:sz w:val="24"/>
              </w:rPr>
            </w:r>
          </w:p>
        </w:tc>
        <w:tc>
          <w:tcPr>
            <w:tcW w:w="964" w:type="dxa"/>
          </w:tcPr>
          <w:p>
            <w:pPr>
              <w:pStyle w:val="0"/>
            </w:pPr>
            <w:r>
              <w:rPr>
                <w:sz w:val="24"/>
              </w:rPr>
            </w:r>
          </w:p>
        </w:tc>
      </w:tr>
      <w:tr>
        <w:tc>
          <w:tcPr>
            <w:tcW w:w="1021" w:type="dxa"/>
          </w:tcPr>
          <w:p>
            <w:pPr>
              <w:pStyle w:val="0"/>
              <w:jc w:val="center"/>
            </w:pPr>
            <w:r>
              <w:rPr>
                <w:sz w:val="24"/>
              </w:rPr>
              <w:t xml:space="preserve">ВСЕГО</w:t>
            </w:r>
          </w:p>
        </w:tc>
        <w:tc>
          <w:tcPr>
            <w:tcW w:w="680" w:type="dxa"/>
          </w:tcPr>
          <w:p>
            <w:pPr>
              <w:pStyle w:val="0"/>
            </w:pPr>
            <w:r>
              <w:rPr>
                <w:sz w:val="24"/>
              </w:rPr>
            </w:r>
          </w:p>
        </w:tc>
        <w:tc>
          <w:tcPr>
            <w:tcW w:w="756" w:type="dxa"/>
          </w:tcPr>
          <w:p>
            <w:pPr>
              <w:pStyle w:val="0"/>
            </w:pPr>
            <w:r>
              <w:rPr>
                <w:sz w:val="24"/>
              </w:rPr>
            </w:r>
          </w:p>
        </w:tc>
        <w:tc>
          <w:tcPr>
            <w:tcW w:w="756" w:type="dxa"/>
          </w:tcPr>
          <w:p>
            <w:pPr>
              <w:pStyle w:val="0"/>
            </w:pPr>
            <w:r>
              <w:rPr>
                <w:sz w:val="24"/>
              </w:rPr>
            </w:r>
          </w:p>
        </w:tc>
        <w:tc>
          <w:tcPr>
            <w:tcW w:w="756" w:type="dxa"/>
          </w:tcPr>
          <w:p>
            <w:pPr>
              <w:pStyle w:val="0"/>
            </w:pPr>
            <w:r>
              <w:rPr>
                <w:sz w:val="24"/>
              </w:rPr>
            </w:r>
          </w:p>
        </w:tc>
        <w:tc>
          <w:tcPr>
            <w:tcW w:w="756" w:type="dxa"/>
          </w:tcPr>
          <w:p>
            <w:pPr>
              <w:pStyle w:val="0"/>
            </w:pPr>
            <w:r>
              <w:rPr>
                <w:sz w:val="24"/>
              </w:rPr>
            </w:r>
          </w:p>
        </w:tc>
        <w:tc>
          <w:tcPr>
            <w:tcW w:w="756" w:type="dxa"/>
          </w:tcPr>
          <w:p>
            <w:pPr>
              <w:pStyle w:val="0"/>
            </w:pPr>
            <w:r>
              <w:rPr>
                <w:sz w:val="24"/>
              </w:rPr>
            </w:r>
          </w:p>
        </w:tc>
        <w:tc>
          <w:tcPr>
            <w:tcW w:w="756" w:type="dxa"/>
          </w:tcPr>
          <w:p>
            <w:pPr>
              <w:pStyle w:val="0"/>
            </w:pPr>
            <w:r>
              <w:rPr>
                <w:sz w:val="24"/>
              </w:rPr>
            </w:r>
          </w:p>
        </w:tc>
        <w:tc>
          <w:tcPr>
            <w:tcW w:w="758" w:type="dxa"/>
          </w:tcPr>
          <w:p>
            <w:pPr>
              <w:pStyle w:val="0"/>
            </w:pPr>
            <w:r>
              <w:rPr>
                <w:sz w:val="24"/>
              </w:rPr>
            </w:r>
          </w:p>
        </w:tc>
        <w:tc>
          <w:tcPr>
            <w:tcW w:w="1077" w:type="dxa"/>
          </w:tcPr>
          <w:p>
            <w:pPr>
              <w:pStyle w:val="0"/>
            </w:pPr>
            <w:r>
              <w:rPr>
                <w:sz w:val="24"/>
              </w:rPr>
            </w:r>
          </w:p>
        </w:tc>
        <w:tc>
          <w:tcPr>
            <w:tcW w:w="964" w:type="dxa"/>
          </w:tcPr>
          <w:p>
            <w:pPr>
              <w:pStyle w:val="0"/>
            </w:pPr>
            <w:r>
              <w:rPr>
                <w:sz w:val="24"/>
              </w:rPr>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9071"/>
      </w:tblGrid>
      <w:tr>
        <w:tc>
          <w:tcPr>
            <w:tcW w:w="9071" w:type="dxa"/>
            <w:tcBorders>
              <w:top w:val="nil"/>
              <w:left w:val="nil"/>
              <w:bottom w:val="nil"/>
              <w:right w:val="nil"/>
            </w:tcBorders>
          </w:tcPr>
          <w:bookmarkStart w:id="687" w:name="P687"/>
          <w:bookmarkEnd w:id="687"/>
          <w:p>
            <w:pPr>
              <w:pStyle w:val="0"/>
              <w:outlineLvl w:val="2"/>
              <w:jc w:val="both"/>
            </w:pPr>
            <w:r>
              <w:rPr>
                <w:sz w:val="24"/>
              </w:rPr>
              <w:t xml:space="preserve">3.2. Годовые эффективные дозы облучения населения, проживающего в зоне наблюдения за счет деятельности организации (предприятия)</w:t>
            </w:r>
          </w:p>
        </w:tc>
      </w:tr>
    </w:tbl>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813"/>
        <w:gridCol w:w="1813"/>
        <w:gridCol w:w="1813"/>
        <w:gridCol w:w="1813"/>
        <w:gridCol w:w="1816"/>
      </w:tblGrid>
      <w:tr>
        <w:tc>
          <w:tcPr>
            <w:tcW w:w="1813" w:type="dxa"/>
            <w:vMerge w:val="restart"/>
          </w:tcPr>
          <w:bookmarkStart w:id="689" w:name="P689"/>
          <w:bookmarkEnd w:id="689"/>
          <w:p>
            <w:pPr>
              <w:pStyle w:val="0"/>
              <w:jc w:val="center"/>
            </w:pPr>
            <w:r>
              <w:rPr>
                <w:sz w:val="24"/>
              </w:rPr>
              <w:t xml:space="preserve">Численность населения зоны наблюдения</w:t>
            </w:r>
          </w:p>
        </w:tc>
        <w:tc>
          <w:tcPr>
            <w:tcW w:w="1813" w:type="dxa"/>
            <w:vMerge w:val="restart"/>
          </w:tcPr>
          <w:p>
            <w:pPr>
              <w:pStyle w:val="0"/>
              <w:jc w:val="center"/>
            </w:pPr>
            <w:r>
              <w:rPr>
                <w:sz w:val="24"/>
              </w:rPr>
              <w:t xml:space="preserve">Средняя индивидуальная доза</w:t>
            </w:r>
          </w:p>
        </w:tc>
        <w:tc>
          <w:tcPr>
            <w:tcW w:w="1813" w:type="dxa"/>
            <w:vMerge w:val="restart"/>
          </w:tcPr>
          <w:p>
            <w:pPr>
              <w:pStyle w:val="0"/>
              <w:jc w:val="center"/>
            </w:pPr>
            <w:r>
              <w:rPr>
                <w:sz w:val="24"/>
              </w:rPr>
              <w:t xml:space="preserve">Коллективная доза</w:t>
            </w:r>
          </w:p>
        </w:tc>
        <w:tc>
          <w:tcPr>
            <w:gridSpan w:val="2"/>
            <w:tcW w:w="3629" w:type="dxa"/>
          </w:tcPr>
          <w:p>
            <w:pPr>
              <w:pStyle w:val="0"/>
              <w:jc w:val="center"/>
            </w:pPr>
            <w:r>
              <w:rPr>
                <w:sz w:val="24"/>
              </w:rPr>
              <w:t xml:space="preserve">Число лиц, для которых превышены:</w:t>
            </w:r>
          </w:p>
        </w:tc>
      </w:tr>
      <w:tr>
        <w:tc>
          <w:tcPr>
            <w:vMerge w:val="continue"/>
          </w:tcPr>
          <w:p/>
        </w:tc>
        <w:tc>
          <w:tcPr>
            <w:vMerge w:val="continue"/>
          </w:tcPr>
          <w:p/>
        </w:tc>
        <w:tc>
          <w:tcPr>
            <w:vMerge w:val="continue"/>
          </w:tcPr>
          <w:p/>
        </w:tc>
        <w:tc>
          <w:tcPr>
            <w:tcW w:w="1813" w:type="dxa"/>
          </w:tcPr>
          <w:p>
            <w:pPr>
              <w:pStyle w:val="0"/>
              <w:jc w:val="center"/>
            </w:pPr>
            <w:r>
              <w:rPr>
                <w:sz w:val="24"/>
              </w:rPr>
              <w:t xml:space="preserve">годовая доза 1 мЗв</w:t>
            </w:r>
          </w:p>
        </w:tc>
        <w:tc>
          <w:tcPr>
            <w:tcW w:w="1816" w:type="dxa"/>
          </w:tcPr>
          <w:p>
            <w:pPr>
              <w:pStyle w:val="0"/>
              <w:jc w:val="center"/>
            </w:pPr>
            <w:r>
              <w:rPr>
                <w:sz w:val="24"/>
              </w:rPr>
              <w:t xml:space="preserve">дозовая квота</w:t>
            </w:r>
          </w:p>
        </w:tc>
      </w:tr>
      <w:tr>
        <w:tc>
          <w:tcPr>
            <w:tcW w:w="1813" w:type="dxa"/>
          </w:tcPr>
          <w:p>
            <w:pPr>
              <w:pStyle w:val="0"/>
              <w:jc w:val="center"/>
            </w:pPr>
            <w:r>
              <w:rPr>
                <w:sz w:val="24"/>
              </w:rPr>
              <w:t xml:space="preserve">тыс. чел.</w:t>
            </w:r>
          </w:p>
        </w:tc>
        <w:tc>
          <w:tcPr>
            <w:tcW w:w="1813" w:type="dxa"/>
          </w:tcPr>
          <w:p>
            <w:pPr>
              <w:pStyle w:val="0"/>
              <w:jc w:val="center"/>
            </w:pPr>
            <w:r>
              <w:rPr>
                <w:sz w:val="24"/>
              </w:rPr>
              <w:t xml:space="preserve">мЗв/год</w:t>
            </w:r>
          </w:p>
        </w:tc>
        <w:tc>
          <w:tcPr>
            <w:tcW w:w="1813" w:type="dxa"/>
          </w:tcPr>
          <w:p>
            <w:pPr>
              <w:pStyle w:val="0"/>
              <w:jc w:val="center"/>
            </w:pPr>
            <w:r>
              <w:rPr>
                <w:sz w:val="24"/>
              </w:rPr>
              <w:t xml:space="preserve">чел.-Зв/год</w:t>
            </w:r>
          </w:p>
        </w:tc>
        <w:tc>
          <w:tcPr>
            <w:tcW w:w="1813" w:type="dxa"/>
          </w:tcPr>
          <w:p>
            <w:pPr>
              <w:pStyle w:val="0"/>
              <w:jc w:val="center"/>
            </w:pPr>
            <w:r>
              <w:rPr>
                <w:sz w:val="24"/>
              </w:rPr>
              <w:t xml:space="preserve">чел.</w:t>
            </w:r>
          </w:p>
        </w:tc>
        <w:tc>
          <w:tcPr>
            <w:tcW w:w="1816" w:type="dxa"/>
          </w:tcPr>
          <w:p>
            <w:pPr>
              <w:pStyle w:val="0"/>
              <w:jc w:val="center"/>
            </w:pPr>
            <w:r>
              <w:rPr>
                <w:sz w:val="24"/>
              </w:rPr>
              <w:t xml:space="preserve">чел.</w:t>
            </w:r>
          </w:p>
        </w:tc>
      </w:tr>
      <w:tr>
        <w:tc>
          <w:tcPr>
            <w:tcW w:w="1813" w:type="dxa"/>
          </w:tcPr>
          <w:p>
            <w:pPr>
              <w:pStyle w:val="0"/>
            </w:pPr>
            <w:r>
              <w:rPr>
                <w:sz w:val="24"/>
              </w:rPr>
            </w:r>
          </w:p>
        </w:tc>
        <w:tc>
          <w:tcPr>
            <w:tcW w:w="1813" w:type="dxa"/>
          </w:tcPr>
          <w:p>
            <w:pPr>
              <w:pStyle w:val="0"/>
            </w:pPr>
            <w:r>
              <w:rPr>
                <w:sz w:val="24"/>
              </w:rPr>
            </w:r>
          </w:p>
        </w:tc>
        <w:tc>
          <w:tcPr>
            <w:tcW w:w="1813" w:type="dxa"/>
          </w:tcPr>
          <w:p>
            <w:pPr>
              <w:pStyle w:val="0"/>
            </w:pPr>
            <w:r>
              <w:rPr>
                <w:sz w:val="24"/>
              </w:rPr>
            </w:r>
          </w:p>
        </w:tc>
        <w:tc>
          <w:tcPr>
            <w:tcW w:w="1813" w:type="dxa"/>
          </w:tcPr>
          <w:p>
            <w:pPr>
              <w:pStyle w:val="0"/>
            </w:pPr>
            <w:r>
              <w:rPr>
                <w:sz w:val="24"/>
              </w:rPr>
            </w:r>
          </w:p>
        </w:tc>
        <w:tc>
          <w:tcPr>
            <w:tcW w:w="1816" w:type="dxa"/>
          </w:tcPr>
          <w:p>
            <w:pPr>
              <w:pStyle w:val="0"/>
            </w:pPr>
            <w:r>
              <w:rPr>
                <w:sz w:val="24"/>
              </w:rPr>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9071"/>
      </w:tblGrid>
      <w:tr>
        <w:tc>
          <w:tcPr>
            <w:tcW w:w="9071" w:type="dxa"/>
            <w:tcBorders>
              <w:top w:val="nil"/>
              <w:left w:val="nil"/>
              <w:bottom w:val="nil"/>
              <w:right w:val="nil"/>
            </w:tcBorders>
          </w:tcPr>
          <w:bookmarkStart w:id="706" w:name="P706"/>
          <w:bookmarkEnd w:id="706"/>
          <w:p>
            <w:pPr>
              <w:pStyle w:val="0"/>
              <w:outlineLvl w:val="2"/>
              <w:jc w:val="both"/>
            </w:pPr>
            <w:r>
              <w:rPr>
                <w:sz w:val="24"/>
              </w:rPr>
              <w:t xml:space="preserve">3.3. Годовые дозы медицинского облучения населения</w:t>
            </w:r>
          </w:p>
          <w:p>
            <w:pPr>
              <w:pStyle w:val="0"/>
              <w:jc w:val="both"/>
            </w:pPr>
            <w:r>
              <w:rPr>
                <w:sz w:val="24"/>
              </w:rPr>
              <w:t xml:space="preserve">(заполняется только организациями, проводящими медицинские рентгенорадиологические диагностические исследования)</w:t>
            </w:r>
          </w:p>
        </w:tc>
      </w:tr>
    </w:tbl>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3231"/>
        <w:gridCol w:w="1417"/>
        <w:gridCol w:w="1644"/>
        <w:gridCol w:w="1644"/>
        <w:gridCol w:w="1133"/>
      </w:tblGrid>
      <w:tr>
        <w:tc>
          <w:tcPr>
            <w:tcW w:w="3231" w:type="dxa"/>
          </w:tcPr>
          <w:bookmarkStart w:id="709" w:name="P709"/>
          <w:bookmarkEnd w:id="709"/>
          <w:p>
            <w:pPr>
              <w:pStyle w:val="0"/>
              <w:jc w:val="center"/>
            </w:pPr>
            <w:r>
              <w:rPr>
                <w:sz w:val="24"/>
              </w:rPr>
              <w:t xml:space="preserve">Виды процедур</w:t>
            </w:r>
          </w:p>
        </w:tc>
        <w:tc>
          <w:tcPr>
            <w:tcW w:w="1417" w:type="dxa"/>
          </w:tcPr>
          <w:p>
            <w:pPr>
              <w:pStyle w:val="0"/>
              <w:jc w:val="center"/>
            </w:pPr>
            <w:r>
              <w:rPr>
                <w:sz w:val="24"/>
              </w:rPr>
              <w:t xml:space="preserve">Количество процедур, шт./год</w:t>
            </w:r>
          </w:p>
        </w:tc>
        <w:tc>
          <w:tcPr>
            <w:tcW w:w="1644" w:type="dxa"/>
          </w:tcPr>
          <w:p>
            <w:pPr>
              <w:pStyle w:val="0"/>
              <w:jc w:val="center"/>
            </w:pPr>
            <w:r>
              <w:rPr>
                <w:sz w:val="24"/>
              </w:rPr>
              <w:t xml:space="preserve">Средняя индивидуальная доза, мЗв/процедуру</w:t>
            </w:r>
          </w:p>
        </w:tc>
        <w:tc>
          <w:tcPr>
            <w:tcW w:w="1644" w:type="dxa"/>
          </w:tcPr>
          <w:p>
            <w:pPr>
              <w:pStyle w:val="0"/>
              <w:jc w:val="center"/>
            </w:pPr>
            <w:r>
              <w:rPr>
                <w:sz w:val="24"/>
              </w:rPr>
              <w:t xml:space="preserve">Коллективная доза, чел.-Зв/год</w:t>
            </w:r>
          </w:p>
        </w:tc>
        <w:tc>
          <w:tcPr>
            <w:tcW w:w="1133" w:type="dxa"/>
          </w:tcPr>
          <w:p>
            <w:pPr>
              <w:pStyle w:val="0"/>
              <w:jc w:val="center"/>
            </w:pPr>
            <w:r>
              <w:rPr>
                <w:sz w:val="24"/>
              </w:rPr>
              <w:t xml:space="preserve">Процент измеренных доз</w:t>
            </w:r>
          </w:p>
        </w:tc>
      </w:tr>
      <w:tr>
        <w:tc>
          <w:tcPr>
            <w:tcW w:w="3231" w:type="dxa"/>
          </w:tcPr>
          <w:p>
            <w:pPr>
              <w:pStyle w:val="0"/>
            </w:pPr>
            <w:r>
              <w:rPr>
                <w:sz w:val="24"/>
              </w:rPr>
              <w:t xml:space="preserve">Флюорографические</w:t>
            </w:r>
          </w:p>
        </w:tc>
        <w:tc>
          <w:tcPr>
            <w:tcW w:w="1417" w:type="dxa"/>
          </w:tcPr>
          <w:p>
            <w:pPr>
              <w:pStyle w:val="0"/>
            </w:pPr>
            <w:r>
              <w:rPr>
                <w:sz w:val="24"/>
              </w:rPr>
            </w:r>
          </w:p>
        </w:tc>
        <w:tc>
          <w:tcPr>
            <w:tcW w:w="1644" w:type="dxa"/>
          </w:tcPr>
          <w:p>
            <w:pPr>
              <w:pStyle w:val="0"/>
            </w:pPr>
            <w:r>
              <w:rPr>
                <w:sz w:val="24"/>
              </w:rPr>
            </w:r>
          </w:p>
        </w:tc>
        <w:tc>
          <w:tcPr>
            <w:tcW w:w="1644" w:type="dxa"/>
          </w:tcPr>
          <w:p>
            <w:pPr>
              <w:pStyle w:val="0"/>
            </w:pPr>
            <w:r>
              <w:rPr>
                <w:sz w:val="24"/>
              </w:rPr>
            </w:r>
          </w:p>
        </w:tc>
        <w:tc>
          <w:tcPr>
            <w:tcW w:w="1133" w:type="dxa"/>
          </w:tcPr>
          <w:p>
            <w:pPr>
              <w:pStyle w:val="0"/>
            </w:pPr>
            <w:r>
              <w:rPr>
                <w:sz w:val="24"/>
              </w:rPr>
            </w:r>
          </w:p>
        </w:tc>
      </w:tr>
      <w:tr>
        <w:tc>
          <w:tcPr>
            <w:tcW w:w="3231" w:type="dxa"/>
          </w:tcPr>
          <w:p>
            <w:pPr>
              <w:pStyle w:val="0"/>
            </w:pPr>
            <w:r>
              <w:rPr>
                <w:sz w:val="24"/>
              </w:rPr>
              <w:t xml:space="preserve">Рентгенографические</w:t>
            </w:r>
          </w:p>
        </w:tc>
        <w:tc>
          <w:tcPr>
            <w:tcW w:w="1417" w:type="dxa"/>
          </w:tcPr>
          <w:p>
            <w:pPr>
              <w:pStyle w:val="0"/>
            </w:pPr>
            <w:r>
              <w:rPr>
                <w:sz w:val="24"/>
              </w:rPr>
            </w:r>
          </w:p>
        </w:tc>
        <w:tc>
          <w:tcPr>
            <w:tcW w:w="1644" w:type="dxa"/>
          </w:tcPr>
          <w:p>
            <w:pPr>
              <w:pStyle w:val="0"/>
            </w:pPr>
            <w:r>
              <w:rPr>
                <w:sz w:val="24"/>
              </w:rPr>
            </w:r>
          </w:p>
        </w:tc>
        <w:tc>
          <w:tcPr>
            <w:tcW w:w="1644" w:type="dxa"/>
          </w:tcPr>
          <w:p>
            <w:pPr>
              <w:pStyle w:val="0"/>
            </w:pPr>
            <w:r>
              <w:rPr>
                <w:sz w:val="24"/>
              </w:rPr>
            </w:r>
          </w:p>
        </w:tc>
        <w:tc>
          <w:tcPr>
            <w:tcW w:w="1133" w:type="dxa"/>
          </w:tcPr>
          <w:p>
            <w:pPr>
              <w:pStyle w:val="0"/>
            </w:pPr>
            <w:r>
              <w:rPr>
                <w:sz w:val="24"/>
              </w:rPr>
            </w:r>
          </w:p>
        </w:tc>
      </w:tr>
      <w:tr>
        <w:tc>
          <w:tcPr>
            <w:tcW w:w="3231" w:type="dxa"/>
          </w:tcPr>
          <w:p>
            <w:pPr>
              <w:pStyle w:val="0"/>
            </w:pPr>
            <w:r>
              <w:rPr>
                <w:sz w:val="24"/>
              </w:rPr>
              <w:t xml:space="preserve">Рентгеноскопические</w:t>
            </w:r>
          </w:p>
        </w:tc>
        <w:tc>
          <w:tcPr>
            <w:tcW w:w="1417" w:type="dxa"/>
          </w:tcPr>
          <w:p>
            <w:pPr>
              <w:pStyle w:val="0"/>
            </w:pPr>
            <w:r>
              <w:rPr>
                <w:sz w:val="24"/>
              </w:rPr>
            </w:r>
          </w:p>
        </w:tc>
        <w:tc>
          <w:tcPr>
            <w:tcW w:w="1644" w:type="dxa"/>
          </w:tcPr>
          <w:p>
            <w:pPr>
              <w:pStyle w:val="0"/>
            </w:pPr>
            <w:r>
              <w:rPr>
                <w:sz w:val="24"/>
              </w:rPr>
            </w:r>
          </w:p>
        </w:tc>
        <w:tc>
          <w:tcPr>
            <w:tcW w:w="1644" w:type="dxa"/>
          </w:tcPr>
          <w:p>
            <w:pPr>
              <w:pStyle w:val="0"/>
            </w:pPr>
            <w:r>
              <w:rPr>
                <w:sz w:val="24"/>
              </w:rPr>
            </w:r>
          </w:p>
        </w:tc>
        <w:tc>
          <w:tcPr>
            <w:tcW w:w="1133" w:type="dxa"/>
          </w:tcPr>
          <w:p>
            <w:pPr>
              <w:pStyle w:val="0"/>
            </w:pPr>
            <w:r>
              <w:rPr>
                <w:sz w:val="24"/>
              </w:rPr>
            </w:r>
          </w:p>
        </w:tc>
      </w:tr>
      <w:tr>
        <w:tc>
          <w:tcPr>
            <w:tcW w:w="3231" w:type="dxa"/>
          </w:tcPr>
          <w:p>
            <w:pPr>
              <w:pStyle w:val="0"/>
            </w:pPr>
            <w:r>
              <w:rPr>
                <w:sz w:val="24"/>
              </w:rPr>
              <w:t xml:space="preserve">Компьютерная томография</w:t>
            </w:r>
          </w:p>
        </w:tc>
        <w:tc>
          <w:tcPr>
            <w:tcW w:w="1417" w:type="dxa"/>
          </w:tcPr>
          <w:p>
            <w:pPr>
              <w:pStyle w:val="0"/>
            </w:pPr>
            <w:r>
              <w:rPr>
                <w:sz w:val="24"/>
              </w:rPr>
            </w:r>
          </w:p>
        </w:tc>
        <w:tc>
          <w:tcPr>
            <w:tcW w:w="1644" w:type="dxa"/>
          </w:tcPr>
          <w:p>
            <w:pPr>
              <w:pStyle w:val="0"/>
            </w:pPr>
            <w:r>
              <w:rPr>
                <w:sz w:val="24"/>
              </w:rPr>
            </w:r>
          </w:p>
        </w:tc>
        <w:tc>
          <w:tcPr>
            <w:tcW w:w="1644" w:type="dxa"/>
          </w:tcPr>
          <w:p>
            <w:pPr>
              <w:pStyle w:val="0"/>
            </w:pPr>
            <w:r>
              <w:rPr>
                <w:sz w:val="24"/>
              </w:rPr>
            </w:r>
          </w:p>
        </w:tc>
        <w:tc>
          <w:tcPr>
            <w:tcW w:w="1133" w:type="dxa"/>
          </w:tcPr>
          <w:p>
            <w:pPr>
              <w:pStyle w:val="0"/>
            </w:pPr>
            <w:r>
              <w:rPr>
                <w:sz w:val="24"/>
              </w:rPr>
            </w:r>
          </w:p>
        </w:tc>
      </w:tr>
      <w:tr>
        <w:tc>
          <w:tcPr>
            <w:tcW w:w="3231" w:type="dxa"/>
          </w:tcPr>
          <w:p>
            <w:pPr>
              <w:pStyle w:val="0"/>
            </w:pPr>
            <w:r>
              <w:rPr>
                <w:sz w:val="24"/>
              </w:rPr>
              <w:t xml:space="preserve">Специальные исследования</w:t>
            </w:r>
          </w:p>
        </w:tc>
        <w:tc>
          <w:tcPr>
            <w:tcW w:w="1417" w:type="dxa"/>
          </w:tcPr>
          <w:p>
            <w:pPr>
              <w:pStyle w:val="0"/>
            </w:pPr>
            <w:r>
              <w:rPr>
                <w:sz w:val="24"/>
              </w:rPr>
            </w:r>
          </w:p>
        </w:tc>
        <w:tc>
          <w:tcPr>
            <w:tcW w:w="1644" w:type="dxa"/>
          </w:tcPr>
          <w:p>
            <w:pPr>
              <w:pStyle w:val="0"/>
            </w:pPr>
            <w:r>
              <w:rPr>
                <w:sz w:val="24"/>
              </w:rPr>
            </w:r>
          </w:p>
        </w:tc>
        <w:tc>
          <w:tcPr>
            <w:tcW w:w="1644" w:type="dxa"/>
          </w:tcPr>
          <w:p>
            <w:pPr>
              <w:pStyle w:val="0"/>
            </w:pPr>
            <w:r>
              <w:rPr>
                <w:sz w:val="24"/>
              </w:rPr>
            </w:r>
          </w:p>
        </w:tc>
        <w:tc>
          <w:tcPr>
            <w:tcW w:w="1133" w:type="dxa"/>
          </w:tcPr>
          <w:p>
            <w:pPr>
              <w:pStyle w:val="0"/>
            </w:pPr>
            <w:r>
              <w:rPr>
                <w:sz w:val="24"/>
              </w:rPr>
            </w:r>
          </w:p>
        </w:tc>
      </w:tr>
      <w:tr>
        <w:tc>
          <w:tcPr>
            <w:tcW w:w="3231" w:type="dxa"/>
          </w:tcPr>
          <w:p>
            <w:pPr>
              <w:pStyle w:val="0"/>
            </w:pPr>
            <w:r>
              <w:rPr>
                <w:sz w:val="24"/>
              </w:rPr>
              <w:t xml:space="preserve">Радионуклидные исследования</w:t>
            </w:r>
          </w:p>
        </w:tc>
        <w:tc>
          <w:tcPr>
            <w:tcW w:w="1417" w:type="dxa"/>
          </w:tcPr>
          <w:p>
            <w:pPr>
              <w:pStyle w:val="0"/>
            </w:pPr>
            <w:r>
              <w:rPr>
                <w:sz w:val="24"/>
              </w:rPr>
            </w:r>
          </w:p>
        </w:tc>
        <w:tc>
          <w:tcPr>
            <w:tcW w:w="1644" w:type="dxa"/>
          </w:tcPr>
          <w:p>
            <w:pPr>
              <w:pStyle w:val="0"/>
            </w:pPr>
            <w:r>
              <w:rPr>
                <w:sz w:val="24"/>
              </w:rPr>
            </w:r>
          </w:p>
        </w:tc>
        <w:tc>
          <w:tcPr>
            <w:tcW w:w="1644" w:type="dxa"/>
          </w:tcPr>
          <w:p>
            <w:pPr>
              <w:pStyle w:val="0"/>
            </w:pPr>
            <w:r>
              <w:rPr>
                <w:sz w:val="24"/>
              </w:rPr>
            </w:r>
          </w:p>
        </w:tc>
        <w:tc>
          <w:tcPr>
            <w:tcW w:w="1133" w:type="dxa"/>
          </w:tcPr>
          <w:p>
            <w:pPr>
              <w:pStyle w:val="0"/>
            </w:pPr>
            <w:r>
              <w:rPr>
                <w:sz w:val="24"/>
              </w:rPr>
            </w:r>
          </w:p>
        </w:tc>
      </w:tr>
      <w:tr>
        <w:tc>
          <w:tcPr>
            <w:tcW w:w="3231" w:type="dxa"/>
          </w:tcPr>
          <w:p>
            <w:pPr>
              <w:pStyle w:val="0"/>
            </w:pPr>
            <w:r>
              <w:rPr>
                <w:sz w:val="24"/>
              </w:rPr>
              <w:t xml:space="preserve">Прочие</w:t>
            </w:r>
          </w:p>
        </w:tc>
        <w:tc>
          <w:tcPr>
            <w:tcW w:w="1417" w:type="dxa"/>
          </w:tcPr>
          <w:p>
            <w:pPr>
              <w:pStyle w:val="0"/>
            </w:pPr>
            <w:r>
              <w:rPr>
                <w:sz w:val="24"/>
              </w:rPr>
            </w:r>
          </w:p>
        </w:tc>
        <w:tc>
          <w:tcPr>
            <w:tcW w:w="1644" w:type="dxa"/>
          </w:tcPr>
          <w:p>
            <w:pPr>
              <w:pStyle w:val="0"/>
            </w:pPr>
            <w:r>
              <w:rPr>
                <w:sz w:val="24"/>
              </w:rPr>
            </w:r>
          </w:p>
        </w:tc>
        <w:tc>
          <w:tcPr>
            <w:tcW w:w="1644" w:type="dxa"/>
          </w:tcPr>
          <w:p>
            <w:pPr>
              <w:pStyle w:val="0"/>
            </w:pPr>
            <w:r>
              <w:rPr>
                <w:sz w:val="24"/>
              </w:rPr>
            </w:r>
          </w:p>
        </w:tc>
        <w:tc>
          <w:tcPr>
            <w:tcW w:w="1133" w:type="dxa"/>
          </w:tcPr>
          <w:p>
            <w:pPr>
              <w:pStyle w:val="0"/>
            </w:pPr>
            <w:r>
              <w:rPr>
                <w:sz w:val="24"/>
              </w:rPr>
            </w:r>
          </w:p>
        </w:tc>
      </w:tr>
      <w:tr>
        <w:tc>
          <w:tcPr>
            <w:tcW w:w="3231" w:type="dxa"/>
          </w:tcPr>
          <w:p>
            <w:pPr>
              <w:pStyle w:val="0"/>
              <w:jc w:val="center"/>
            </w:pPr>
            <w:r>
              <w:rPr>
                <w:sz w:val="24"/>
              </w:rPr>
              <w:t xml:space="preserve">ВСЕГО:</w:t>
            </w:r>
          </w:p>
        </w:tc>
        <w:tc>
          <w:tcPr>
            <w:tcW w:w="1417" w:type="dxa"/>
          </w:tcPr>
          <w:p>
            <w:pPr>
              <w:pStyle w:val="0"/>
            </w:pPr>
            <w:r>
              <w:rPr>
                <w:sz w:val="24"/>
              </w:rPr>
            </w:r>
          </w:p>
        </w:tc>
        <w:tc>
          <w:tcPr>
            <w:tcW w:w="1644" w:type="dxa"/>
          </w:tcPr>
          <w:p>
            <w:pPr>
              <w:pStyle w:val="0"/>
            </w:pPr>
            <w:r>
              <w:rPr>
                <w:sz w:val="24"/>
              </w:rPr>
            </w:r>
          </w:p>
        </w:tc>
        <w:tc>
          <w:tcPr>
            <w:tcW w:w="1644" w:type="dxa"/>
          </w:tcPr>
          <w:p>
            <w:pPr>
              <w:pStyle w:val="0"/>
            </w:pPr>
            <w:r>
              <w:rPr>
                <w:sz w:val="24"/>
              </w:rPr>
            </w:r>
          </w:p>
        </w:tc>
        <w:tc>
          <w:tcPr>
            <w:tcW w:w="1133" w:type="dxa"/>
          </w:tcPr>
          <w:p>
            <w:pPr>
              <w:pStyle w:val="0"/>
            </w:pPr>
            <w:r>
              <w:rPr>
                <w:sz w:val="24"/>
              </w:rPr>
            </w:r>
          </w:p>
        </w:tc>
      </w:tr>
    </w:tbl>
    <w:p>
      <w:pPr>
        <w:pStyle w:val="0"/>
        <w:jc w:val="both"/>
      </w:pPr>
      <w:r>
        <w:rPr>
          <w:sz w:val="24"/>
        </w:rPr>
      </w:r>
    </w:p>
    <w:tbl>
      <w:tblPr>
        <w:tblInd w:w="0" w:type="dxa"/>
        <w:tblLayout w:type="fixed"/>
        <w:tblBorders>
          <w:bottom w:val="single" w:sz="4"/>
          <w:insideH w:val="single" w:sz="4"/>
        </w:tblBorders>
        <w:tblCellMar>
          <w:top w:w="102" w:type="dxa"/>
          <w:left w:w="62" w:type="dxa"/>
          <w:bottom w:w="102" w:type="dxa"/>
          <w:right w:w="62" w:type="dxa"/>
        </w:tblCellMar>
      </w:tblPr>
      <w:tblGrid>
        <w:gridCol w:w="9071"/>
      </w:tblGrid>
      <w:tr>
        <w:tblPrEx>
          <w:tblBorders>
            <w:insideH w:val="nil"/>
          </w:tblBorders>
        </w:tblPrEx>
        <w:tc>
          <w:tcPr>
            <w:tcW w:w="9071" w:type="dxa"/>
            <w:tcBorders>
              <w:top w:val="nil"/>
              <w:left w:val="nil"/>
              <w:bottom w:val="nil"/>
              <w:right w:val="nil"/>
            </w:tcBorders>
          </w:tcPr>
          <w:bookmarkStart w:id="755" w:name="P755"/>
          <w:bookmarkEnd w:id="755"/>
          <w:p>
            <w:pPr>
              <w:pStyle w:val="0"/>
              <w:outlineLvl w:val="1"/>
            </w:pPr>
            <w:r>
              <w:rPr>
                <w:sz w:val="24"/>
              </w:rPr>
              <w:t xml:space="preserve">4. Оценка эффективности мероприятий по обеспечению радиационной безопасности и выполнению норм, правил и гигиенических нормативов в области радиационной безопасности</w:t>
            </w:r>
          </w:p>
        </w:tc>
      </w:tr>
      <w:tr>
        <w:tblPrEx>
          <w:tblBorders>
            <w:insideH w:val="nil"/>
          </w:tblBorders>
        </w:tblPrEx>
        <w:tc>
          <w:tcPr>
            <w:tcW w:w="9071" w:type="dxa"/>
            <w:tcBorders>
              <w:top w:val="nil"/>
              <w:left w:val="nil"/>
              <w:right w:val="nil"/>
            </w:tcBorders>
          </w:tcPr>
          <w:p>
            <w:pPr>
              <w:pStyle w:val="0"/>
            </w:pPr>
            <w:r>
              <w:rPr>
                <w:sz w:val="24"/>
              </w:rPr>
            </w:r>
          </w:p>
        </w:tc>
      </w:tr>
      <w:tr>
        <w:tc>
          <w:tcPr>
            <w:tcW w:w="9071" w:type="dxa"/>
            <w:tcBorders>
              <w:left w:val="nil"/>
              <w:right w:val="nil"/>
            </w:tcBorders>
          </w:tcPr>
          <w:p>
            <w:pPr>
              <w:pStyle w:val="0"/>
            </w:pPr>
            <w:r>
              <w:rPr>
                <w:sz w:val="24"/>
              </w:rPr>
            </w:r>
          </w:p>
        </w:tc>
      </w:tr>
      <w:tr>
        <w:tc>
          <w:tcPr>
            <w:tcW w:w="9071" w:type="dxa"/>
            <w:tcBorders>
              <w:left w:val="nil"/>
              <w:right w:val="nil"/>
            </w:tcBorders>
          </w:tcPr>
          <w:p>
            <w:pPr>
              <w:pStyle w:val="0"/>
              <w:outlineLvl w:val="2"/>
            </w:pPr>
            <w:r>
              <w:rPr>
                <w:sz w:val="24"/>
              </w:rPr>
              <w:t xml:space="preserve">Сведения о выполнении предписаний и представлений контролирующих и надзорных органов и рекомендаций, содержащихся в заключения к РГПО за прошлый год</w:t>
            </w:r>
          </w:p>
        </w:tc>
      </w:tr>
      <w:tr>
        <w:tc>
          <w:tcPr>
            <w:tcW w:w="9071" w:type="dxa"/>
            <w:tcBorders>
              <w:left w:val="nil"/>
              <w:right w:val="nil"/>
            </w:tcBorders>
          </w:tcPr>
          <w:p>
            <w:pPr>
              <w:pStyle w:val="0"/>
            </w:pPr>
            <w:r>
              <w:rPr>
                <w:sz w:val="24"/>
              </w:rPr>
            </w:r>
          </w:p>
        </w:tc>
      </w:tr>
      <w:tr>
        <w:tc>
          <w:tcPr>
            <w:tcW w:w="9071" w:type="dxa"/>
            <w:tcBorders>
              <w:left w:val="nil"/>
              <w:right w:val="nil"/>
            </w:tcBorders>
          </w:tcPr>
          <w:p>
            <w:pPr>
              <w:pStyle w:val="0"/>
            </w:pPr>
            <w:r>
              <w:rPr>
                <w:sz w:val="24"/>
              </w:rPr>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9071"/>
      </w:tblGrid>
      <w:tr>
        <w:tc>
          <w:tcPr>
            <w:tcW w:w="9071" w:type="dxa"/>
            <w:tcBorders>
              <w:top w:val="nil"/>
              <w:left w:val="nil"/>
              <w:bottom w:val="nil"/>
              <w:right w:val="nil"/>
            </w:tcBorders>
          </w:tcPr>
          <w:bookmarkStart w:id="762" w:name="P762"/>
          <w:bookmarkEnd w:id="762"/>
          <w:p>
            <w:pPr>
              <w:pStyle w:val="0"/>
              <w:outlineLvl w:val="1"/>
              <w:jc w:val="both"/>
            </w:pPr>
            <w:r>
              <w:rPr>
                <w:sz w:val="24"/>
              </w:rPr>
              <w:t xml:space="preserve">5. Радиационные аварии, происшествия</w:t>
            </w:r>
          </w:p>
        </w:tc>
      </w:tr>
    </w:tbl>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34"/>
        <w:gridCol w:w="1094"/>
        <w:gridCol w:w="7427"/>
      </w:tblGrid>
      <w:tr>
        <w:tc>
          <w:tcPr>
            <w:tcW w:w="534" w:type="dxa"/>
          </w:tcPr>
          <w:bookmarkStart w:id="764" w:name="P764"/>
          <w:bookmarkEnd w:id="764"/>
          <w:p>
            <w:pPr>
              <w:pStyle w:val="0"/>
              <w:jc w:val="center"/>
            </w:pPr>
            <w:r>
              <w:rPr>
                <w:sz w:val="24"/>
              </w:rPr>
              <w:t xml:space="preserve">N п/п</w:t>
            </w:r>
          </w:p>
        </w:tc>
        <w:tc>
          <w:tcPr>
            <w:tcW w:w="1094" w:type="dxa"/>
          </w:tcPr>
          <w:p>
            <w:pPr>
              <w:pStyle w:val="0"/>
              <w:jc w:val="center"/>
            </w:pPr>
            <w:r>
              <w:rPr>
                <w:sz w:val="24"/>
              </w:rPr>
              <w:t xml:space="preserve">Дата</w:t>
            </w:r>
          </w:p>
        </w:tc>
        <w:tc>
          <w:tcPr>
            <w:tcW w:w="7427" w:type="dxa"/>
          </w:tcPr>
          <w:p>
            <w:pPr>
              <w:pStyle w:val="0"/>
              <w:jc w:val="center"/>
            </w:pPr>
            <w:r>
              <w:rPr>
                <w:sz w:val="24"/>
              </w:rPr>
              <w:t xml:space="preserve">Краткое описание радиационной аварии (происшествия) с указанием наличия радиоактивного загрязнения местности, облучения людей, утраченного источника</w:t>
            </w:r>
          </w:p>
        </w:tc>
      </w:tr>
      <w:tr>
        <w:tc>
          <w:tcPr>
            <w:tcW w:w="534" w:type="dxa"/>
          </w:tcPr>
          <w:p>
            <w:pPr>
              <w:pStyle w:val="0"/>
            </w:pPr>
            <w:r>
              <w:rPr>
                <w:sz w:val="24"/>
              </w:rPr>
            </w:r>
          </w:p>
        </w:tc>
        <w:tc>
          <w:tcPr>
            <w:tcW w:w="1094" w:type="dxa"/>
          </w:tcPr>
          <w:p>
            <w:pPr>
              <w:pStyle w:val="0"/>
            </w:pPr>
            <w:r>
              <w:rPr>
                <w:sz w:val="24"/>
              </w:rPr>
            </w:r>
          </w:p>
        </w:tc>
        <w:tc>
          <w:tcPr>
            <w:tcW w:w="7427" w:type="dxa"/>
          </w:tcPr>
          <w:p>
            <w:pPr>
              <w:pStyle w:val="0"/>
            </w:pPr>
            <w:r>
              <w:rPr>
                <w:sz w:val="24"/>
              </w:rPr>
            </w:r>
          </w:p>
        </w:tc>
      </w:tr>
      <w:tr>
        <w:tc>
          <w:tcPr>
            <w:tcW w:w="534" w:type="dxa"/>
          </w:tcPr>
          <w:p>
            <w:pPr>
              <w:pStyle w:val="0"/>
            </w:pPr>
            <w:r>
              <w:rPr>
                <w:sz w:val="24"/>
              </w:rPr>
            </w:r>
          </w:p>
        </w:tc>
        <w:tc>
          <w:tcPr>
            <w:tcW w:w="1094" w:type="dxa"/>
          </w:tcPr>
          <w:p>
            <w:pPr>
              <w:pStyle w:val="0"/>
            </w:pPr>
            <w:r>
              <w:rPr>
                <w:sz w:val="24"/>
              </w:rPr>
            </w:r>
          </w:p>
        </w:tc>
        <w:tc>
          <w:tcPr>
            <w:tcW w:w="7427" w:type="dxa"/>
          </w:tcPr>
          <w:p>
            <w:pPr>
              <w:pStyle w:val="0"/>
            </w:pPr>
            <w:r>
              <w:rPr>
                <w:sz w:val="24"/>
              </w:rPr>
            </w:r>
          </w:p>
        </w:tc>
      </w:tr>
      <w:tr>
        <w:tc>
          <w:tcPr>
            <w:tcW w:w="534" w:type="dxa"/>
          </w:tcPr>
          <w:p>
            <w:pPr>
              <w:pStyle w:val="0"/>
            </w:pPr>
            <w:r>
              <w:rPr>
                <w:sz w:val="24"/>
              </w:rPr>
            </w:r>
          </w:p>
        </w:tc>
        <w:tc>
          <w:tcPr>
            <w:tcW w:w="1094" w:type="dxa"/>
          </w:tcPr>
          <w:p>
            <w:pPr>
              <w:pStyle w:val="0"/>
            </w:pPr>
            <w:r>
              <w:rPr>
                <w:sz w:val="24"/>
              </w:rPr>
            </w:r>
          </w:p>
        </w:tc>
        <w:tc>
          <w:tcPr>
            <w:tcW w:w="7427" w:type="dxa"/>
          </w:tcPr>
          <w:p>
            <w:pPr>
              <w:pStyle w:val="0"/>
            </w:pPr>
            <w:r>
              <w:rPr>
                <w:sz w:val="24"/>
              </w:rPr>
            </w:r>
          </w:p>
        </w:tc>
      </w:tr>
      <w:tr>
        <w:tc>
          <w:tcPr>
            <w:tcW w:w="534" w:type="dxa"/>
          </w:tcPr>
          <w:p>
            <w:pPr>
              <w:pStyle w:val="0"/>
            </w:pPr>
            <w:r>
              <w:rPr>
                <w:sz w:val="24"/>
              </w:rPr>
            </w:r>
          </w:p>
        </w:tc>
        <w:tc>
          <w:tcPr>
            <w:tcW w:w="1094" w:type="dxa"/>
          </w:tcPr>
          <w:p>
            <w:pPr>
              <w:pStyle w:val="0"/>
            </w:pPr>
            <w:r>
              <w:rPr>
                <w:sz w:val="24"/>
              </w:rPr>
            </w:r>
          </w:p>
        </w:tc>
        <w:tc>
          <w:tcPr>
            <w:tcW w:w="7427" w:type="dxa"/>
          </w:tcPr>
          <w:p>
            <w:pPr>
              <w:pStyle w:val="0"/>
            </w:pPr>
            <w:r>
              <w:rPr>
                <w:sz w:val="24"/>
              </w:rPr>
            </w:r>
          </w:p>
        </w:tc>
      </w:tr>
    </w:tbl>
    <w:p>
      <w:pPr>
        <w:pStyle w:val="0"/>
        <w:jc w:val="both"/>
      </w:pPr>
      <w:r>
        <w:rPr>
          <w:sz w:val="24"/>
        </w:rPr>
      </w:r>
    </w:p>
    <w:tbl>
      <w:tblPr>
        <w:tblInd w:w="0" w:type="dxa"/>
        <w:tblLayout w:type="fixed"/>
        <w:tblBorders>
          <w:bottom w:val="single" w:sz="4"/>
          <w:insideH w:val="single" w:sz="4"/>
        </w:tblBorders>
        <w:tblCellMar>
          <w:top w:w="102" w:type="dxa"/>
          <w:left w:w="62" w:type="dxa"/>
          <w:bottom w:w="102" w:type="dxa"/>
          <w:right w:w="62" w:type="dxa"/>
        </w:tblCellMar>
      </w:tblPr>
      <w:tblGrid>
        <w:gridCol w:w="9071"/>
      </w:tblGrid>
      <w:tr>
        <w:tc>
          <w:tcPr>
            <w:tcW w:w="9071" w:type="dxa"/>
            <w:tcBorders>
              <w:top w:val="nil"/>
              <w:left w:val="nil"/>
              <w:right w:val="nil"/>
            </w:tcBorders>
          </w:tcPr>
          <w:bookmarkStart w:id="780" w:name="P780"/>
          <w:bookmarkEnd w:id="780"/>
          <w:p>
            <w:pPr>
              <w:pStyle w:val="0"/>
              <w:outlineLvl w:val="1"/>
            </w:pPr>
            <w:r>
              <w:rPr>
                <w:sz w:val="24"/>
              </w:rPr>
              <w:t xml:space="preserve">6. Наличие планов мероприятий по ликвидации радиационных аварий, происшествий и их последствий, наличие средств и сил</w:t>
            </w:r>
          </w:p>
        </w:tc>
      </w:tr>
      <w:tr>
        <w:tc>
          <w:tcPr>
            <w:tcW w:w="9071" w:type="dxa"/>
            <w:tcBorders>
              <w:left w:val="nil"/>
              <w:right w:val="nil"/>
            </w:tcBorders>
          </w:tcPr>
          <w:p>
            <w:pPr>
              <w:pStyle w:val="0"/>
            </w:pPr>
            <w:r>
              <w:rPr>
                <w:sz w:val="24"/>
              </w:rPr>
            </w:r>
          </w:p>
        </w:tc>
      </w:tr>
      <w:tr>
        <w:tc>
          <w:tcPr>
            <w:tcW w:w="9071" w:type="dxa"/>
            <w:tcBorders>
              <w:left w:val="nil"/>
              <w:right w:val="nil"/>
            </w:tcBorders>
          </w:tcPr>
          <w:p>
            <w:pPr>
              <w:pStyle w:val="0"/>
            </w:pPr>
            <w:r>
              <w:rPr>
                <w:sz w:val="24"/>
              </w:rPr>
            </w:r>
          </w:p>
        </w:tc>
      </w:tr>
      <w:tr>
        <w:tc>
          <w:tcPr>
            <w:tcW w:w="9071" w:type="dxa"/>
            <w:tcBorders>
              <w:left w:val="nil"/>
              <w:right w:val="nil"/>
            </w:tcBorders>
          </w:tcPr>
          <w:p>
            <w:pPr>
              <w:pStyle w:val="0"/>
            </w:pPr>
            <w:r>
              <w:rPr>
                <w:sz w:val="24"/>
              </w:rPr>
            </w:r>
          </w:p>
        </w:tc>
      </w:tr>
      <w:tr>
        <w:tc>
          <w:tcPr>
            <w:tcW w:w="9071" w:type="dxa"/>
            <w:tcBorders>
              <w:left w:val="nil"/>
              <w:right w:val="nil"/>
            </w:tcBorders>
          </w:tcPr>
          <w:p>
            <w:pPr>
              <w:pStyle w:val="0"/>
            </w:pPr>
            <w:r>
              <w:rPr>
                <w:sz w:val="24"/>
              </w:rPr>
            </w:r>
          </w:p>
        </w:tc>
      </w:tr>
      <w:tr>
        <w:tc>
          <w:tcPr>
            <w:tcW w:w="9071" w:type="dxa"/>
            <w:tcBorders>
              <w:left w:val="nil"/>
              <w:right w:val="nil"/>
            </w:tcBorders>
          </w:tcPr>
          <w:p>
            <w:pPr>
              <w:pStyle w:val="0"/>
            </w:pPr>
            <w:r>
              <w:rPr>
                <w:sz w:val="24"/>
              </w:rPr>
            </w:r>
          </w:p>
        </w:tc>
      </w:tr>
      <w:tr>
        <w:tc>
          <w:tcPr>
            <w:tcW w:w="9071" w:type="dxa"/>
            <w:tcBorders>
              <w:left w:val="nil"/>
              <w:right w:val="nil"/>
            </w:tcBorders>
          </w:tcPr>
          <w:p>
            <w:pPr>
              <w:pStyle w:val="0"/>
            </w:pPr>
            <w:r>
              <w:rPr>
                <w:sz w:val="24"/>
              </w:rPr>
            </w:r>
          </w:p>
        </w:tc>
      </w:tr>
      <w:tr>
        <w:tc>
          <w:tcPr>
            <w:tcW w:w="9071" w:type="dxa"/>
            <w:tcBorders>
              <w:left w:val="nil"/>
              <w:right w:val="nil"/>
            </w:tcBorders>
          </w:tcPr>
          <w:p>
            <w:pPr>
              <w:pStyle w:val="0"/>
            </w:pPr>
            <w:r>
              <w:rPr>
                <w:sz w:val="24"/>
              </w:rPr>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9071"/>
      </w:tblGrid>
      <w:tr>
        <w:tc>
          <w:tcPr>
            <w:tcW w:w="9071" w:type="dxa"/>
            <w:tcBorders>
              <w:top w:val="nil"/>
              <w:left w:val="nil"/>
              <w:bottom w:val="nil"/>
              <w:right w:val="nil"/>
            </w:tcBorders>
          </w:tcPr>
          <w:p>
            <w:pPr>
              <w:pStyle w:val="0"/>
              <w:jc w:val="both"/>
            </w:pPr>
            <w:r>
              <w:rPr>
                <w:sz w:val="24"/>
              </w:rPr>
              <w:t xml:space="preserve">Подпись и должность лица, ответственного за радиационную безопасность в организации (предприятии)</w:t>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2778"/>
        <w:gridCol w:w="340"/>
        <w:gridCol w:w="794"/>
        <w:gridCol w:w="340"/>
        <w:gridCol w:w="2381"/>
        <w:gridCol w:w="397"/>
        <w:gridCol w:w="340"/>
        <w:gridCol w:w="1247"/>
        <w:gridCol w:w="454"/>
      </w:tblGrid>
      <w:tr>
        <w:tblPrEx>
          <w:tblBorders>
            <w:insideH w:val="single" w:sz="4"/>
          </w:tblBorders>
        </w:tblPrEx>
        <w:tc>
          <w:tcPr>
            <w:gridSpan w:val="9"/>
            <w:tcW w:w="9071" w:type="dxa"/>
            <w:tcBorders>
              <w:top w:val="nil"/>
              <w:left w:val="nil"/>
              <w:bottom w:val="single" w:sz="4"/>
              <w:right w:val="nil"/>
            </w:tcBorders>
          </w:tcPr>
          <w:p>
            <w:pPr>
              <w:pStyle w:val="0"/>
            </w:pPr>
            <w:r>
              <w:rPr>
                <w:sz w:val="24"/>
              </w:rPr>
            </w:r>
          </w:p>
        </w:tc>
      </w:tr>
      <w:tr>
        <w:tc>
          <w:tcPr>
            <w:gridSpan w:val="9"/>
            <w:tcW w:w="9071" w:type="dxa"/>
            <w:tcBorders>
              <w:top w:val="single" w:sz="4"/>
              <w:left w:val="nil"/>
              <w:bottom w:val="nil"/>
              <w:right w:val="nil"/>
            </w:tcBorders>
          </w:tcPr>
          <w:p>
            <w:pPr>
              <w:pStyle w:val="0"/>
              <w:jc w:val="center"/>
            </w:pPr>
            <w:r>
              <w:rPr>
                <w:sz w:val="24"/>
              </w:rPr>
              <w:t xml:space="preserve">(Должность)</w:t>
            </w:r>
          </w:p>
        </w:tc>
      </w:tr>
      <w:tr>
        <w:tc>
          <w:tcPr>
            <w:gridSpan w:val="9"/>
            <w:tcW w:w="9071" w:type="dxa"/>
            <w:tcBorders>
              <w:top w:val="nil"/>
              <w:left w:val="nil"/>
              <w:bottom w:val="nil"/>
              <w:right w:val="nil"/>
            </w:tcBorders>
          </w:tcPr>
          <w:p>
            <w:pPr>
              <w:pStyle w:val="0"/>
            </w:pPr>
            <w:r>
              <w:rPr>
                <w:sz w:val="24"/>
              </w:rPr>
            </w:r>
          </w:p>
        </w:tc>
      </w:tr>
      <w:tr>
        <w:tc>
          <w:tcPr>
            <w:gridSpan w:val="3"/>
            <w:tcW w:w="3912" w:type="dxa"/>
            <w:tcBorders>
              <w:top w:val="nil"/>
              <w:left w:val="nil"/>
              <w:bottom w:val="single" w:sz="4"/>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gridSpan w:val="2"/>
            <w:tcW w:w="2778" w:type="dxa"/>
            <w:tcBorders>
              <w:top w:val="nil"/>
              <w:left w:val="nil"/>
              <w:bottom w:val="single" w:sz="4"/>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1247" w:type="dxa"/>
            <w:tcBorders>
              <w:top w:val="nil"/>
              <w:left w:val="nil"/>
              <w:bottom w:val="single" w:sz="4"/>
              <w:right w:val="nil"/>
            </w:tcBorders>
          </w:tcPr>
          <w:p>
            <w:pPr>
              <w:pStyle w:val="0"/>
            </w:pPr>
            <w:r>
              <w:rPr>
                <w:sz w:val="24"/>
              </w:rPr>
            </w:r>
          </w:p>
        </w:tc>
        <w:tc>
          <w:tcPr>
            <w:tcW w:w="454" w:type="dxa"/>
            <w:tcBorders>
              <w:top w:val="nil"/>
              <w:left w:val="nil"/>
              <w:bottom w:val="nil"/>
              <w:right w:val="nil"/>
            </w:tcBorders>
          </w:tcPr>
          <w:p>
            <w:pPr>
              <w:pStyle w:val="0"/>
            </w:pPr>
            <w:r>
              <w:rPr>
                <w:sz w:val="24"/>
              </w:rPr>
            </w:r>
          </w:p>
        </w:tc>
      </w:tr>
      <w:tr>
        <w:tc>
          <w:tcPr>
            <w:gridSpan w:val="3"/>
            <w:tcW w:w="3912" w:type="dxa"/>
            <w:tcBorders>
              <w:top w:val="single" w:sz="4"/>
              <w:left w:val="nil"/>
              <w:bottom w:val="nil"/>
              <w:right w:val="nil"/>
            </w:tcBorders>
          </w:tcPr>
          <w:p>
            <w:pPr>
              <w:pStyle w:val="0"/>
              <w:jc w:val="center"/>
            </w:pPr>
            <w:r>
              <w:rPr>
                <w:sz w:val="24"/>
              </w:rPr>
              <w:t xml:space="preserve">(Фамилия Имя Отчество)</w:t>
            </w:r>
          </w:p>
        </w:tc>
        <w:tc>
          <w:tcPr>
            <w:tcW w:w="340" w:type="dxa"/>
            <w:tcBorders>
              <w:top w:val="nil"/>
              <w:left w:val="nil"/>
              <w:bottom w:val="nil"/>
              <w:right w:val="nil"/>
            </w:tcBorders>
          </w:tcPr>
          <w:p>
            <w:pPr>
              <w:pStyle w:val="0"/>
            </w:pPr>
            <w:r>
              <w:rPr>
                <w:sz w:val="24"/>
              </w:rPr>
            </w:r>
          </w:p>
        </w:tc>
        <w:tc>
          <w:tcPr>
            <w:gridSpan w:val="2"/>
            <w:tcW w:w="2778" w:type="dxa"/>
            <w:tcBorders>
              <w:top w:val="single" w:sz="4"/>
              <w:left w:val="nil"/>
              <w:bottom w:val="nil"/>
              <w:right w:val="nil"/>
            </w:tcBorders>
          </w:tcPr>
          <w:p>
            <w:pPr>
              <w:pStyle w:val="0"/>
              <w:jc w:val="center"/>
            </w:pPr>
            <w:r>
              <w:rPr>
                <w:sz w:val="24"/>
              </w:rPr>
              <w:t xml:space="preserve">(Подпись)</w:t>
            </w:r>
          </w:p>
        </w:tc>
        <w:tc>
          <w:tcPr>
            <w:tcW w:w="340" w:type="dxa"/>
            <w:tcBorders>
              <w:top w:val="nil"/>
              <w:left w:val="nil"/>
              <w:bottom w:val="nil"/>
              <w:right w:val="nil"/>
            </w:tcBorders>
          </w:tcPr>
          <w:p>
            <w:pPr>
              <w:pStyle w:val="0"/>
            </w:pPr>
            <w:r>
              <w:rPr>
                <w:sz w:val="24"/>
              </w:rPr>
            </w:r>
          </w:p>
        </w:tc>
        <w:tc>
          <w:tcPr>
            <w:tcW w:w="1247" w:type="dxa"/>
            <w:tcBorders>
              <w:top w:val="single" w:sz="4"/>
              <w:left w:val="nil"/>
              <w:bottom w:val="nil"/>
              <w:right w:val="nil"/>
            </w:tcBorders>
          </w:tcPr>
          <w:p>
            <w:pPr>
              <w:pStyle w:val="0"/>
              <w:jc w:val="center"/>
            </w:pPr>
            <w:r>
              <w:rPr>
                <w:sz w:val="24"/>
              </w:rPr>
              <w:t xml:space="preserve">(Дата)</w:t>
            </w:r>
          </w:p>
        </w:tc>
        <w:tc>
          <w:tcPr>
            <w:tcW w:w="454" w:type="dxa"/>
            <w:tcBorders>
              <w:top w:val="nil"/>
              <w:left w:val="nil"/>
              <w:bottom w:val="nil"/>
              <w:right w:val="nil"/>
            </w:tcBorders>
          </w:tcPr>
          <w:p>
            <w:pPr>
              <w:pStyle w:val="0"/>
            </w:pPr>
            <w:r>
              <w:rPr>
                <w:sz w:val="24"/>
              </w:rPr>
            </w:r>
          </w:p>
        </w:tc>
      </w:tr>
      <w:tr>
        <w:tc>
          <w:tcPr>
            <w:gridSpan w:val="3"/>
            <w:tcW w:w="3912" w:type="dxa"/>
            <w:tcBorders>
              <w:top w:val="nil"/>
              <w:left w:val="nil"/>
              <w:bottom w:val="nil"/>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gridSpan w:val="2"/>
            <w:tcW w:w="2778" w:type="dxa"/>
            <w:tcBorders>
              <w:top w:val="nil"/>
              <w:left w:val="nil"/>
              <w:bottom w:val="nil"/>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454" w:type="dxa"/>
            <w:tcBorders>
              <w:top w:val="nil"/>
              <w:left w:val="nil"/>
              <w:bottom w:val="nil"/>
              <w:right w:val="nil"/>
            </w:tcBorders>
          </w:tcPr>
          <w:p>
            <w:pPr>
              <w:pStyle w:val="0"/>
            </w:pPr>
            <w:r>
              <w:rPr>
                <w:sz w:val="24"/>
              </w:rPr>
            </w:r>
          </w:p>
        </w:tc>
      </w:tr>
      <w:tr>
        <w:tc>
          <w:tcPr>
            <w:tcW w:w="2778" w:type="dxa"/>
            <w:tcBorders>
              <w:top w:val="nil"/>
              <w:left w:val="nil"/>
              <w:bottom w:val="nil"/>
              <w:right w:val="nil"/>
            </w:tcBorders>
          </w:tcPr>
          <w:bookmarkStart w:id="812" w:name="P812"/>
          <w:bookmarkEnd w:id="812"/>
          <w:p>
            <w:pPr>
              <w:pStyle w:val="0"/>
              <w:ind w:left="283"/>
            </w:pPr>
            <w:r>
              <w:rPr>
                <w:sz w:val="24"/>
              </w:rPr>
              <w:t xml:space="preserve">Контактный телефон:</w:t>
            </w:r>
          </w:p>
        </w:tc>
        <w:tc>
          <w:tcPr>
            <w:tcW w:w="340" w:type="dxa"/>
            <w:tcBorders>
              <w:top w:val="nil"/>
              <w:left w:val="nil"/>
              <w:bottom w:val="nil"/>
              <w:right w:val="nil"/>
            </w:tcBorders>
          </w:tcPr>
          <w:p>
            <w:pPr>
              <w:pStyle w:val="0"/>
              <w:jc w:val="right"/>
            </w:pPr>
            <w:r>
              <w:rPr>
                <w:sz w:val="24"/>
              </w:rPr>
              <w:t xml:space="preserve">(</w:t>
            </w:r>
          </w:p>
        </w:tc>
        <w:tc>
          <w:tcPr>
            <w:tcW w:w="794" w:type="dxa"/>
            <w:tcBorders>
              <w:top w:val="nil"/>
              <w:left w:val="nil"/>
              <w:bottom w:val="single" w:sz="4"/>
              <w:right w:val="nil"/>
            </w:tcBorders>
          </w:tcPr>
          <w:p>
            <w:pPr>
              <w:pStyle w:val="0"/>
            </w:pPr>
            <w:r>
              <w:rPr>
                <w:sz w:val="24"/>
              </w:rPr>
            </w:r>
          </w:p>
        </w:tc>
        <w:tc>
          <w:tcPr>
            <w:tcW w:w="340" w:type="dxa"/>
            <w:tcBorders>
              <w:top w:val="nil"/>
              <w:left w:val="nil"/>
              <w:bottom w:val="nil"/>
              <w:right w:val="nil"/>
            </w:tcBorders>
          </w:tcPr>
          <w:p>
            <w:pPr>
              <w:pStyle w:val="0"/>
            </w:pPr>
            <w:r>
              <w:rPr>
                <w:sz w:val="24"/>
              </w:rPr>
              <w:t xml:space="preserve">)</w:t>
            </w:r>
          </w:p>
        </w:tc>
        <w:tc>
          <w:tcPr>
            <w:tcW w:w="2381" w:type="dxa"/>
            <w:tcBorders>
              <w:top w:val="nil"/>
              <w:left w:val="nil"/>
              <w:bottom w:val="single" w:sz="4"/>
              <w:right w:val="nil"/>
            </w:tcBorders>
          </w:tcPr>
          <w:p>
            <w:pPr>
              <w:pStyle w:val="0"/>
            </w:pPr>
            <w:r>
              <w:rPr>
                <w:sz w:val="24"/>
              </w:rPr>
            </w:r>
          </w:p>
        </w:tc>
        <w:tc>
          <w:tcPr>
            <w:gridSpan w:val="4"/>
            <w:tcW w:w="2438" w:type="dxa"/>
            <w:tcBorders>
              <w:top w:val="nil"/>
              <w:left w:val="nil"/>
              <w:bottom w:val="nil"/>
              <w:right w:val="nil"/>
            </w:tcBorders>
          </w:tcPr>
          <w:p>
            <w:pPr>
              <w:pStyle w:val="0"/>
            </w:pPr>
            <w:r>
              <w:rPr>
                <w:sz w:val="24"/>
              </w:rPr>
            </w:r>
          </w:p>
        </w:tc>
      </w:tr>
      <w:tr>
        <w:tc>
          <w:tcPr>
            <w:tcW w:w="2778" w:type="dxa"/>
            <w:tcBorders>
              <w:top w:val="nil"/>
              <w:left w:val="nil"/>
              <w:bottom w:val="nil"/>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794" w:type="dxa"/>
            <w:tcBorders>
              <w:top w:val="single" w:sz="4"/>
              <w:left w:val="nil"/>
              <w:bottom w:val="nil"/>
              <w:right w:val="nil"/>
            </w:tcBorders>
          </w:tcPr>
          <w:p>
            <w:pPr>
              <w:pStyle w:val="0"/>
              <w:jc w:val="center"/>
            </w:pPr>
            <w:r>
              <w:rPr>
                <w:sz w:val="24"/>
              </w:rPr>
              <w:t xml:space="preserve">(Код)</w:t>
            </w:r>
          </w:p>
        </w:tc>
        <w:tc>
          <w:tcPr>
            <w:tcW w:w="340" w:type="dxa"/>
            <w:tcBorders>
              <w:top w:val="nil"/>
              <w:left w:val="nil"/>
              <w:bottom w:val="nil"/>
              <w:right w:val="nil"/>
            </w:tcBorders>
          </w:tcPr>
          <w:p>
            <w:pPr>
              <w:pStyle w:val="0"/>
            </w:pPr>
            <w:r>
              <w:rPr>
                <w:sz w:val="24"/>
              </w:rPr>
            </w:r>
          </w:p>
        </w:tc>
        <w:tc>
          <w:tcPr>
            <w:tcW w:w="2381" w:type="dxa"/>
            <w:tcBorders>
              <w:top w:val="single" w:sz="4"/>
              <w:left w:val="nil"/>
              <w:bottom w:val="nil"/>
              <w:right w:val="nil"/>
            </w:tcBorders>
          </w:tcPr>
          <w:p>
            <w:pPr>
              <w:pStyle w:val="0"/>
              <w:jc w:val="center"/>
            </w:pPr>
            <w:r>
              <w:rPr>
                <w:sz w:val="24"/>
              </w:rPr>
              <w:t xml:space="preserve">(Номер)</w:t>
            </w:r>
          </w:p>
        </w:tc>
        <w:tc>
          <w:tcPr>
            <w:gridSpan w:val="4"/>
            <w:tcW w:w="2438" w:type="dxa"/>
            <w:tcBorders>
              <w:top w:val="nil"/>
              <w:left w:val="nil"/>
              <w:bottom w:val="nil"/>
              <w:right w:val="nil"/>
            </w:tcBorders>
          </w:tcPr>
          <w:p>
            <w:pPr>
              <w:pStyle w:val="0"/>
            </w:pPr>
            <w:r>
              <w:rPr>
                <w:sz w:val="24"/>
              </w:rPr>
            </w:r>
          </w:p>
        </w:tc>
      </w:tr>
    </w:tbl>
    <w:p>
      <w:pPr>
        <w:pStyle w:val="0"/>
        <w:jc w:val="both"/>
      </w:pPr>
      <w:r>
        <w:rPr>
          <w:sz w:val="24"/>
        </w:rPr>
      </w:r>
    </w:p>
    <w:tbl>
      <w:tblPr>
        <w:tblInd w:w="0" w:type="dxa"/>
        <w:tblLayout w:type="fixed"/>
        <w:tblBorders>
          <w:insideV w:val="single" w:sz="4"/>
          <w:insideH w:val="single" w:sz="4"/>
        </w:tblBorders>
        <w:tblCellMar>
          <w:top w:w="102" w:type="dxa"/>
          <w:left w:w="62" w:type="dxa"/>
          <w:bottom w:w="102" w:type="dxa"/>
          <w:right w:w="62" w:type="dxa"/>
        </w:tblCellMar>
      </w:tblPr>
      <w:tblGrid>
        <w:gridCol w:w="3856"/>
        <w:gridCol w:w="5215"/>
      </w:tblGrid>
      <w:tr>
        <w:tblPrEx>
          <w:tblBorders>
            <w:insideH w:val="nil"/>
          </w:tblBorders>
        </w:tblPrEx>
        <w:tc>
          <w:tcPr>
            <w:gridSpan w:val="2"/>
            <w:tcW w:w="9071" w:type="dxa"/>
            <w:tcBorders>
              <w:top w:val="nil"/>
              <w:left w:val="nil"/>
              <w:bottom w:val="nil"/>
              <w:right w:val="nil"/>
            </w:tcBorders>
          </w:tcPr>
          <w:bookmarkStart w:id="825" w:name="P825"/>
          <w:bookmarkEnd w:id="825"/>
          <w:p>
            <w:pPr>
              <w:pStyle w:val="0"/>
              <w:outlineLvl w:val="1"/>
            </w:pPr>
            <w:r>
              <w:rPr>
                <w:sz w:val="24"/>
              </w:rPr>
              <w:t xml:space="preserve">7. Заключение администрации о состоянии радиационной безопасности в организации за отчетный год. Сведения о превышении контрольных уровней и гигиенических нормативов, радиационных авариях, предписаниях надзорных органов.</w:t>
            </w:r>
          </w:p>
        </w:tc>
      </w:tr>
      <w:tr>
        <w:tblPrEx>
          <w:tblBorders>
            <w:insideH w:val="nil"/>
          </w:tblBorders>
        </w:tblPrEx>
        <w:tc>
          <w:tcPr>
            <w:gridSpan w:val="2"/>
            <w:tcW w:w="9071" w:type="dxa"/>
            <w:tcBorders>
              <w:top w:val="nil"/>
              <w:left w:val="nil"/>
              <w:right w:val="nil"/>
            </w:tcBorders>
          </w:tcPr>
          <w:p>
            <w:pPr>
              <w:pStyle w:val="0"/>
            </w:pPr>
            <w:r>
              <w:rPr>
                <w:sz w:val="24"/>
              </w:rPr>
            </w:r>
          </w:p>
        </w:tc>
      </w:tr>
      <w:tr>
        <w:tc>
          <w:tcPr>
            <w:gridSpan w:val="2"/>
            <w:tcW w:w="9071" w:type="dxa"/>
            <w:tcBorders>
              <w:left w:val="nil"/>
              <w:right w:val="nil"/>
            </w:tcBorders>
          </w:tcPr>
          <w:p>
            <w:pPr>
              <w:pStyle w:val="0"/>
            </w:pPr>
            <w:r>
              <w:rPr>
                <w:sz w:val="24"/>
              </w:rPr>
            </w:r>
          </w:p>
        </w:tc>
      </w:tr>
      <w:tr>
        <w:tc>
          <w:tcPr>
            <w:gridSpan w:val="2"/>
            <w:tcW w:w="9071" w:type="dxa"/>
            <w:tcBorders>
              <w:left w:val="nil"/>
              <w:right w:val="nil"/>
            </w:tcBorders>
          </w:tcPr>
          <w:p>
            <w:pPr>
              <w:pStyle w:val="0"/>
            </w:pPr>
            <w:r>
              <w:rPr>
                <w:sz w:val="24"/>
              </w:rPr>
            </w:r>
          </w:p>
        </w:tc>
      </w:tr>
      <w:tr>
        <w:tc>
          <w:tcPr>
            <w:gridSpan w:val="2"/>
            <w:tcW w:w="9071" w:type="dxa"/>
            <w:tcBorders>
              <w:left w:val="nil"/>
              <w:right w:val="nil"/>
            </w:tcBorders>
          </w:tcPr>
          <w:p>
            <w:pPr>
              <w:pStyle w:val="0"/>
            </w:pPr>
            <w:r>
              <w:rPr>
                <w:sz w:val="24"/>
              </w:rPr>
            </w:r>
          </w:p>
        </w:tc>
      </w:tr>
      <w:tr>
        <w:tc>
          <w:tcPr>
            <w:gridSpan w:val="2"/>
            <w:tcW w:w="9071" w:type="dxa"/>
            <w:tcBorders>
              <w:left w:val="nil"/>
              <w:right w:val="nil"/>
            </w:tcBorders>
          </w:tcPr>
          <w:p>
            <w:pPr>
              <w:pStyle w:val="0"/>
            </w:pPr>
            <w:r>
              <w:rPr>
                <w:sz w:val="24"/>
              </w:rPr>
            </w:r>
          </w:p>
        </w:tc>
      </w:tr>
      <w:tr>
        <w:tc>
          <w:tcPr>
            <w:gridSpan w:val="2"/>
            <w:tcW w:w="9071" w:type="dxa"/>
            <w:tcBorders>
              <w:left w:val="nil"/>
              <w:right w:val="nil"/>
            </w:tcBorders>
          </w:tcPr>
          <w:p>
            <w:pPr>
              <w:pStyle w:val="0"/>
            </w:pPr>
            <w:r>
              <w:rPr>
                <w:sz w:val="24"/>
              </w:rPr>
            </w:r>
          </w:p>
        </w:tc>
      </w:tr>
      <w:tr>
        <w:tc>
          <w:tcPr>
            <w:gridSpan w:val="2"/>
            <w:tcW w:w="9071" w:type="dxa"/>
            <w:tcBorders>
              <w:left w:val="nil"/>
              <w:right w:val="nil"/>
            </w:tcBorders>
          </w:tcPr>
          <w:p>
            <w:pPr>
              <w:pStyle w:val="0"/>
            </w:pPr>
            <w:r>
              <w:rPr>
                <w:sz w:val="24"/>
              </w:rPr>
            </w:r>
          </w:p>
        </w:tc>
      </w:tr>
      <w:tr>
        <w:tc>
          <w:tcPr>
            <w:gridSpan w:val="2"/>
            <w:tcW w:w="9071" w:type="dxa"/>
            <w:tcBorders>
              <w:left w:val="nil"/>
              <w:right w:val="nil"/>
            </w:tcBorders>
          </w:tcPr>
          <w:p>
            <w:pPr>
              <w:pStyle w:val="0"/>
            </w:pPr>
            <w:r>
              <w:rPr>
                <w:sz w:val="24"/>
              </w:rPr>
            </w:r>
          </w:p>
        </w:tc>
      </w:tr>
      <w:tr>
        <w:tc>
          <w:tcPr>
            <w:gridSpan w:val="2"/>
            <w:tcW w:w="9071" w:type="dxa"/>
            <w:tcBorders>
              <w:left w:val="nil"/>
              <w:right w:val="nil"/>
            </w:tcBorders>
          </w:tcPr>
          <w:p>
            <w:pPr>
              <w:pStyle w:val="0"/>
            </w:pPr>
            <w:r>
              <w:rPr>
                <w:sz w:val="24"/>
              </w:rPr>
            </w:r>
          </w:p>
        </w:tc>
      </w:tr>
      <w:tr>
        <w:tc>
          <w:tcPr>
            <w:gridSpan w:val="2"/>
            <w:tcW w:w="9071" w:type="dxa"/>
            <w:tcBorders>
              <w:left w:val="nil"/>
              <w:right w:val="nil"/>
            </w:tcBorders>
          </w:tcPr>
          <w:p>
            <w:pPr>
              <w:pStyle w:val="0"/>
            </w:pPr>
            <w:r>
              <w:rPr>
                <w:sz w:val="24"/>
              </w:rPr>
            </w:r>
          </w:p>
        </w:tc>
      </w:tr>
      <w:tr>
        <w:tc>
          <w:tcPr>
            <w:gridSpan w:val="2"/>
            <w:tcW w:w="9071" w:type="dxa"/>
            <w:tcBorders>
              <w:left w:val="nil"/>
              <w:right w:val="nil"/>
            </w:tcBorders>
          </w:tcPr>
          <w:p>
            <w:pPr>
              <w:pStyle w:val="0"/>
            </w:pPr>
            <w:r>
              <w:rPr>
                <w:sz w:val="24"/>
              </w:rPr>
            </w:r>
          </w:p>
        </w:tc>
      </w:tr>
      <w:tr>
        <w:tc>
          <w:tcPr>
            <w:gridSpan w:val="2"/>
            <w:tcW w:w="9071" w:type="dxa"/>
            <w:tcBorders>
              <w:left w:val="nil"/>
              <w:right w:val="nil"/>
            </w:tcBorders>
          </w:tcPr>
          <w:p>
            <w:pPr>
              <w:pStyle w:val="0"/>
            </w:pPr>
            <w:r>
              <w:rPr>
                <w:sz w:val="24"/>
              </w:rPr>
            </w:r>
          </w:p>
        </w:tc>
      </w:tr>
      <w:tr>
        <w:tc>
          <w:tcPr>
            <w:gridSpan w:val="2"/>
            <w:tcW w:w="9071" w:type="dxa"/>
            <w:tcBorders>
              <w:left w:val="nil"/>
              <w:right w:val="nil"/>
            </w:tcBorders>
          </w:tcPr>
          <w:p>
            <w:pPr>
              <w:pStyle w:val="0"/>
            </w:pPr>
            <w:r>
              <w:rPr>
                <w:sz w:val="24"/>
              </w:rPr>
            </w:r>
          </w:p>
        </w:tc>
      </w:tr>
      <w:tr>
        <w:tc>
          <w:tcPr>
            <w:gridSpan w:val="2"/>
            <w:tcW w:w="9071" w:type="dxa"/>
            <w:tcBorders>
              <w:left w:val="nil"/>
              <w:right w:val="nil"/>
            </w:tcBorders>
          </w:tcPr>
          <w:p>
            <w:pPr>
              <w:pStyle w:val="0"/>
            </w:pPr>
            <w:r>
              <w:rPr>
                <w:sz w:val="24"/>
              </w:rPr>
            </w:r>
          </w:p>
        </w:tc>
      </w:tr>
      <w:tr>
        <w:tc>
          <w:tcPr>
            <w:gridSpan w:val="2"/>
            <w:tcW w:w="9071" w:type="dxa"/>
            <w:tcBorders>
              <w:left w:val="nil"/>
              <w:right w:val="nil"/>
            </w:tcBorders>
          </w:tcPr>
          <w:p>
            <w:pPr>
              <w:pStyle w:val="0"/>
            </w:pPr>
            <w:r>
              <w:rPr>
                <w:sz w:val="24"/>
              </w:rPr>
            </w:r>
          </w:p>
        </w:tc>
      </w:tr>
      <w:tr>
        <w:tc>
          <w:tcPr>
            <w:gridSpan w:val="2"/>
            <w:tcW w:w="9071" w:type="dxa"/>
            <w:tcBorders>
              <w:left w:val="nil"/>
              <w:right w:val="nil"/>
            </w:tcBorders>
          </w:tcPr>
          <w:p>
            <w:pPr>
              <w:pStyle w:val="0"/>
            </w:pPr>
            <w:r>
              <w:rPr>
                <w:sz w:val="24"/>
              </w:rPr>
            </w:r>
          </w:p>
        </w:tc>
      </w:tr>
      <w:tr>
        <w:tc>
          <w:tcPr>
            <w:gridSpan w:val="2"/>
            <w:tcW w:w="9071" w:type="dxa"/>
            <w:tcBorders>
              <w:left w:val="nil"/>
              <w:right w:val="nil"/>
            </w:tcBorders>
          </w:tcPr>
          <w:p>
            <w:pPr>
              <w:pStyle w:val="0"/>
            </w:pPr>
            <w:r>
              <w:rPr>
                <w:sz w:val="24"/>
              </w:rPr>
            </w:r>
          </w:p>
        </w:tc>
      </w:tr>
      <w:tr>
        <w:tc>
          <w:tcPr>
            <w:gridSpan w:val="2"/>
            <w:tcW w:w="9071" w:type="dxa"/>
            <w:tcBorders>
              <w:left w:val="nil"/>
              <w:right w:val="nil"/>
            </w:tcBorders>
          </w:tcPr>
          <w:p>
            <w:pPr>
              <w:pStyle w:val="0"/>
            </w:pPr>
            <w:r>
              <w:rPr>
                <w:sz w:val="24"/>
              </w:rPr>
            </w:r>
          </w:p>
        </w:tc>
      </w:tr>
      <w:tr>
        <w:tc>
          <w:tcPr>
            <w:gridSpan w:val="2"/>
            <w:tcW w:w="9071" w:type="dxa"/>
            <w:tcBorders>
              <w:left w:val="nil"/>
              <w:right w:val="nil"/>
            </w:tcBorders>
          </w:tcPr>
          <w:p>
            <w:pPr>
              <w:pStyle w:val="0"/>
              <w:outlineLvl w:val="2"/>
            </w:pPr>
            <w:r>
              <w:rPr>
                <w:sz w:val="24"/>
              </w:rPr>
              <w:t xml:space="preserve">Информация о наличии обособленных подразделений, постоянно осуществляющих обращение с техногенными ИИИ в другом субъекте РФ.</w:t>
            </w:r>
          </w:p>
        </w:tc>
      </w:tr>
      <w:tr>
        <w:tc>
          <w:tcPr>
            <w:tcW w:w="3856" w:type="dxa"/>
            <w:tcBorders>
              <w:left w:val="nil"/>
            </w:tcBorders>
          </w:tcPr>
          <w:p>
            <w:pPr>
              <w:pStyle w:val="0"/>
            </w:pPr>
            <w:r>
              <w:rPr>
                <w:sz w:val="24"/>
              </w:rPr>
              <w:t xml:space="preserve">Наименование подразделения</w:t>
            </w:r>
          </w:p>
        </w:tc>
        <w:tc>
          <w:tcPr>
            <w:tcW w:w="5215" w:type="dxa"/>
            <w:tcBorders>
              <w:right w:val="nil"/>
            </w:tcBorders>
          </w:tcPr>
          <w:p>
            <w:pPr>
              <w:pStyle w:val="0"/>
            </w:pPr>
            <w:r>
              <w:rPr>
                <w:sz w:val="24"/>
              </w:rPr>
            </w:r>
          </w:p>
        </w:tc>
      </w:tr>
      <w:tr>
        <w:tc>
          <w:tcPr>
            <w:tcW w:w="3856" w:type="dxa"/>
            <w:tcBorders>
              <w:left w:val="nil"/>
            </w:tcBorders>
          </w:tcPr>
          <w:p>
            <w:pPr>
              <w:pStyle w:val="0"/>
            </w:pPr>
            <w:r>
              <w:rPr>
                <w:sz w:val="24"/>
              </w:rPr>
              <w:t xml:space="preserve">Субъект РФ, в котором осуществляется деятельность с техногенными ИИИ</w:t>
            </w:r>
          </w:p>
        </w:tc>
        <w:tc>
          <w:tcPr>
            <w:tcW w:w="5215" w:type="dxa"/>
            <w:tcBorders>
              <w:right w:val="nil"/>
            </w:tcBorders>
          </w:tcPr>
          <w:p>
            <w:pPr>
              <w:pStyle w:val="0"/>
            </w:pPr>
            <w:r>
              <w:rPr>
                <w:sz w:val="24"/>
              </w:rPr>
            </w:r>
          </w:p>
        </w:tc>
      </w:tr>
      <w:tr>
        <w:tc>
          <w:tcPr>
            <w:tcW w:w="3856" w:type="dxa"/>
            <w:tcBorders>
              <w:left w:val="nil"/>
            </w:tcBorders>
          </w:tcPr>
          <w:p>
            <w:pPr>
              <w:pStyle w:val="0"/>
            </w:pPr>
            <w:r>
              <w:rPr>
                <w:sz w:val="24"/>
              </w:rPr>
              <w:t xml:space="preserve">Вид деятельности с техногенными ИИИ</w:t>
            </w:r>
          </w:p>
        </w:tc>
        <w:tc>
          <w:tcPr>
            <w:tcW w:w="5215" w:type="dxa"/>
            <w:tcBorders>
              <w:right w:val="nil"/>
            </w:tcBorders>
          </w:tcPr>
          <w:p>
            <w:pPr>
              <w:pStyle w:val="0"/>
            </w:pPr>
            <w:r>
              <w:rPr>
                <w:sz w:val="24"/>
              </w:rPr>
            </w:r>
          </w:p>
        </w:tc>
      </w:tr>
      <w:tr>
        <w:tc>
          <w:tcPr>
            <w:tcW w:w="3856" w:type="dxa"/>
            <w:tcBorders>
              <w:left w:val="nil"/>
              <w:bottom w:val="nil"/>
            </w:tcBorders>
          </w:tcPr>
          <w:p>
            <w:pPr>
              <w:pStyle w:val="0"/>
            </w:pPr>
            <w:r>
              <w:rPr>
                <w:sz w:val="24"/>
              </w:rPr>
              <w:t xml:space="preserve">Численность персонала группы А в обособленном подразделении</w:t>
            </w:r>
          </w:p>
        </w:tc>
        <w:tc>
          <w:tcPr>
            <w:tcW w:w="5215" w:type="dxa"/>
            <w:tcBorders>
              <w:bottom w:val="nil"/>
              <w:right w:val="nil"/>
            </w:tcBorders>
          </w:tcPr>
          <w:p>
            <w:pPr>
              <w:pStyle w:val="0"/>
            </w:pPr>
            <w:r>
              <w:rPr>
                <w:sz w:val="24"/>
              </w:rPr>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9071"/>
      </w:tblGrid>
      <w:tr>
        <w:tc>
          <w:tcPr>
            <w:tcW w:w="9071" w:type="dxa"/>
            <w:tcBorders>
              <w:top w:val="nil"/>
              <w:left w:val="nil"/>
              <w:bottom w:val="nil"/>
              <w:right w:val="nil"/>
            </w:tcBorders>
          </w:tcPr>
          <w:p>
            <w:pPr>
              <w:pStyle w:val="0"/>
              <w:jc w:val="both"/>
            </w:pPr>
            <w:r>
              <w:rPr>
                <w:sz w:val="24"/>
              </w:rPr>
              <w:t xml:space="preserve">Дата и подпись руководителя организации (предприятия):</w:t>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3912"/>
        <w:gridCol w:w="340"/>
        <w:gridCol w:w="2778"/>
        <w:gridCol w:w="340"/>
        <w:gridCol w:w="1247"/>
        <w:gridCol w:w="454"/>
      </w:tblGrid>
      <w:tr>
        <w:tblPrEx>
          <w:tblBorders>
            <w:insideH w:val="single" w:sz="4"/>
          </w:tblBorders>
        </w:tblPrEx>
        <w:tc>
          <w:tcPr>
            <w:gridSpan w:val="6"/>
            <w:tcW w:w="9071" w:type="dxa"/>
            <w:tcBorders>
              <w:top w:val="nil"/>
              <w:left w:val="nil"/>
              <w:bottom w:val="single" w:sz="4"/>
              <w:right w:val="nil"/>
            </w:tcBorders>
          </w:tcPr>
          <w:p>
            <w:pPr>
              <w:pStyle w:val="0"/>
            </w:pPr>
            <w:r>
              <w:rPr>
                <w:sz w:val="24"/>
              </w:rPr>
            </w:r>
          </w:p>
        </w:tc>
      </w:tr>
      <w:tr>
        <w:tc>
          <w:tcPr>
            <w:gridSpan w:val="6"/>
            <w:tcW w:w="9071" w:type="dxa"/>
            <w:tcBorders>
              <w:top w:val="single" w:sz="4"/>
              <w:left w:val="nil"/>
              <w:bottom w:val="nil"/>
              <w:right w:val="nil"/>
            </w:tcBorders>
          </w:tcPr>
          <w:p>
            <w:pPr>
              <w:pStyle w:val="0"/>
              <w:jc w:val="center"/>
            </w:pPr>
            <w:r>
              <w:rPr>
                <w:sz w:val="24"/>
              </w:rPr>
              <w:t xml:space="preserve">(Должность)</w:t>
            </w:r>
          </w:p>
        </w:tc>
      </w:tr>
      <w:tr>
        <w:tc>
          <w:tcPr>
            <w:gridSpan w:val="6"/>
            <w:tcW w:w="9071" w:type="dxa"/>
            <w:tcBorders>
              <w:top w:val="nil"/>
              <w:left w:val="nil"/>
              <w:bottom w:val="nil"/>
              <w:right w:val="nil"/>
            </w:tcBorders>
          </w:tcPr>
          <w:p>
            <w:pPr>
              <w:pStyle w:val="0"/>
            </w:pPr>
            <w:r>
              <w:rPr>
                <w:sz w:val="24"/>
              </w:rPr>
            </w:r>
          </w:p>
        </w:tc>
      </w:tr>
      <w:tr>
        <w:tc>
          <w:tcPr>
            <w:tcW w:w="3912" w:type="dxa"/>
            <w:tcBorders>
              <w:top w:val="nil"/>
              <w:left w:val="nil"/>
              <w:bottom w:val="single" w:sz="4"/>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2778" w:type="dxa"/>
            <w:tcBorders>
              <w:top w:val="nil"/>
              <w:left w:val="nil"/>
              <w:bottom w:val="single" w:sz="4"/>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1247" w:type="dxa"/>
            <w:tcBorders>
              <w:top w:val="nil"/>
              <w:left w:val="nil"/>
              <w:bottom w:val="single" w:sz="4"/>
              <w:right w:val="nil"/>
            </w:tcBorders>
          </w:tcPr>
          <w:p>
            <w:pPr>
              <w:pStyle w:val="0"/>
            </w:pPr>
            <w:r>
              <w:rPr>
                <w:sz w:val="24"/>
              </w:rPr>
            </w:r>
          </w:p>
        </w:tc>
        <w:tc>
          <w:tcPr>
            <w:tcW w:w="454" w:type="dxa"/>
            <w:tcBorders>
              <w:top w:val="nil"/>
              <w:left w:val="nil"/>
              <w:bottom w:val="nil"/>
              <w:right w:val="nil"/>
            </w:tcBorders>
          </w:tcPr>
          <w:p>
            <w:pPr>
              <w:pStyle w:val="0"/>
            </w:pPr>
            <w:r>
              <w:rPr>
                <w:sz w:val="24"/>
              </w:rPr>
            </w:r>
          </w:p>
        </w:tc>
      </w:tr>
      <w:tr>
        <w:tc>
          <w:tcPr>
            <w:tcW w:w="3912" w:type="dxa"/>
            <w:tcBorders>
              <w:top w:val="single" w:sz="4"/>
              <w:left w:val="nil"/>
              <w:bottom w:val="nil"/>
              <w:right w:val="nil"/>
            </w:tcBorders>
          </w:tcPr>
          <w:p>
            <w:pPr>
              <w:pStyle w:val="0"/>
              <w:jc w:val="center"/>
            </w:pPr>
            <w:r>
              <w:rPr>
                <w:sz w:val="24"/>
              </w:rPr>
              <w:t xml:space="preserve">(Фамилия Имя Отчество)</w:t>
            </w:r>
          </w:p>
        </w:tc>
        <w:tc>
          <w:tcPr>
            <w:tcW w:w="340" w:type="dxa"/>
            <w:tcBorders>
              <w:top w:val="nil"/>
              <w:left w:val="nil"/>
              <w:bottom w:val="nil"/>
              <w:right w:val="nil"/>
            </w:tcBorders>
          </w:tcPr>
          <w:p>
            <w:pPr>
              <w:pStyle w:val="0"/>
            </w:pPr>
            <w:r>
              <w:rPr>
                <w:sz w:val="24"/>
              </w:rPr>
            </w:r>
          </w:p>
        </w:tc>
        <w:tc>
          <w:tcPr>
            <w:tcW w:w="2778" w:type="dxa"/>
            <w:tcBorders>
              <w:top w:val="single" w:sz="4"/>
              <w:left w:val="nil"/>
              <w:bottom w:val="nil"/>
              <w:right w:val="nil"/>
            </w:tcBorders>
          </w:tcPr>
          <w:p>
            <w:pPr>
              <w:pStyle w:val="0"/>
              <w:jc w:val="center"/>
            </w:pPr>
            <w:r>
              <w:rPr>
                <w:sz w:val="24"/>
              </w:rPr>
              <w:t xml:space="preserve">(Подпись)</w:t>
            </w:r>
          </w:p>
        </w:tc>
        <w:tc>
          <w:tcPr>
            <w:tcW w:w="340" w:type="dxa"/>
            <w:tcBorders>
              <w:top w:val="nil"/>
              <w:left w:val="nil"/>
              <w:bottom w:val="nil"/>
              <w:right w:val="nil"/>
            </w:tcBorders>
          </w:tcPr>
          <w:p>
            <w:pPr>
              <w:pStyle w:val="0"/>
            </w:pPr>
            <w:r>
              <w:rPr>
                <w:sz w:val="24"/>
              </w:rPr>
            </w:r>
          </w:p>
        </w:tc>
        <w:tc>
          <w:tcPr>
            <w:tcW w:w="1247" w:type="dxa"/>
            <w:tcBorders>
              <w:top w:val="single" w:sz="4"/>
              <w:left w:val="nil"/>
              <w:bottom w:val="nil"/>
              <w:right w:val="nil"/>
            </w:tcBorders>
          </w:tcPr>
          <w:p>
            <w:pPr>
              <w:pStyle w:val="0"/>
              <w:jc w:val="center"/>
            </w:pPr>
            <w:r>
              <w:rPr>
                <w:sz w:val="24"/>
              </w:rPr>
              <w:t xml:space="preserve">(Дата)</w:t>
            </w:r>
          </w:p>
        </w:tc>
        <w:tc>
          <w:tcPr>
            <w:tcW w:w="454" w:type="dxa"/>
            <w:tcBorders>
              <w:top w:val="nil"/>
              <w:left w:val="nil"/>
              <w:bottom w:val="nil"/>
              <w:right w:val="nil"/>
            </w:tcBorders>
          </w:tcPr>
          <w:p>
            <w:pPr>
              <w:pStyle w:val="0"/>
            </w:pPr>
            <w:r>
              <w:rPr>
                <w:sz w:val="24"/>
              </w:rPr>
            </w:r>
          </w:p>
        </w:tc>
      </w:tr>
      <w:tr>
        <w:tc>
          <w:tcPr>
            <w:tcW w:w="3912" w:type="dxa"/>
            <w:tcBorders>
              <w:top w:val="nil"/>
              <w:left w:val="nil"/>
              <w:bottom w:val="nil"/>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2778" w:type="dxa"/>
            <w:tcBorders>
              <w:top w:val="nil"/>
              <w:left w:val="nil"/>
              <w:bottom w:val="nil"/>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454" w:type="dxa"/>
            <w:tcBorders>
              <w:top w:val="nil"/>
              <w:left w:val="nil"/>
              <w:bottom w:val="nil"/>
              <w:right w:val="nil"/>
            </w:tcBorders>
          </w:tcPr>
          <w:p>
            <w:pPr>
              <w:pStyle w:val="0"/>
            </w:pPr>
            <w:r>
              <w:rPr>
                <w:sz w:val="24"/>
              </w:rPr>
            </w:r>
          </w:p>
        </w:tc>
      </w:tr>
      <w:tr>
        <w:tc>
          <w:tcPr>
            <w:tcW w:w="3912" w:type="dxa"/>
            <w:tcBorders>
              <w:top w:val="nil"/>
              <w:left w:val="nil"/>
              <w:bottom w:val="nil"/>
              <w:right w:val="nil"/>
            </w:tcBorders>
          </w:tcPr>
          <w:p>
            <w:pPr>
              <w:pStyle w:val="0"/>
              <w:jc w:val="both"/>
            </w:pPr>
            <w:r>
              <w:rPr>
                <w:sz w:val="24"/>
              </w:rPr>
              <w:t xml:space="preserve">М.П.</w:t>
            </w:r>
          </w:p>
        </w:tc>
        <w:tc>
          <w:tcPr>
            <w:tcW w:w="340" w:type="dxa"/>
            <w:tcBorders>
              <w:top w:val="nil"/>
              <w:left w:val="nil"/>
              <w:bottom w:val="nil"/>
              <w:right w:val="nil"/>
            </w:tcBorders>
          </w:tcPr>
          <w:p>
            <w:pPr>
              <w:pStyle w:val="0"/>
            </w:pPr>
            <w:r>
              <w:rPr>
                <w:sz w:val="24"/>
              </w:rPr>
            </w:r>
          </w:p>
        </w:tc>
        <w:tc>
          <w:tcPr>
            <w:tcW w:w="2778" w:type="dxa"/>
            <w:tcBorders>
              <w:top w:val="nil"/>
              <w:left w:val="nil"/>
              <w:bottom w:val="nil"/>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454" w:type="dxa"/>
            <w:tcBorders>
              <w:top w:val="nil"/>
              <w:left w:val="nil"/>
              <w:bottom w:val="nil"/>
              <w:right w:val="nil"/>
            </w:tcBorders>
          </w:tcPr>
          <w:p>
            <w:pPr>
              <w:pStyle w:val="0"/>
            </w:pPr>
            <w:r>
              <w:rPr>
                <w:sz w:val="24"/>
              </w:rPr>
            </w:r>
          </w:p>
        </w:tc>
      </w:tr>
    </w:tbl>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Приложение 2</w:t>
      </w:r>
    </w:p>
    <w:p>
      <w:pPr>
        <w:pStyle w:val="0"/>
        <w:jc w:val="right"/>
      </w:pPr>
      <w:r>
        <w:rPr>
          <w:sz w:val="24"/>
        </w:rPr>
        <w:t xml:space="preserve">к МР 2.6.1.0257-21</w:t>
      </w:r>
    </w:p>
    <w:p>
      <w:pPr>
        <w:pStyle w:val="0"/>
        <w:jc w:val="both"/>
      </w:pPr>
      <w:r>
        <w:rPr>
          <w:sz w:val="24"/>
        </w:rPr>
      </w:r>
    </w:p>
    <w:bookmarkStart w:id="891" w:name="P891"/>
    <w:bookmarkEnd w:id="891"/>
    <w:p>
      <w:pPr>
        <w:pStyle w:val="2"/>
        <w:jc w:val="center"/>
      </w:pPr>
      <w:r>
        <w:rPr>
          <w:sz w:val="24"/>
        </w:rPr>
        <w:t xml:space="preserve">ИНСТРУКЦИЯ</w:t>
      </w:r>
    </w:p>
    <w:p>
      <w:pPr>
        <w:pStyle w:val="2"/>
        <w:jc w:val="center"/>
      </w:pPr>
      <w:r>
        <w:rPr>
          <w:sz w:val="24"/>
        </w:rPr>
        <w:t xml:space="preserve">ПО ЗАПОЛНЕНИЮ РАДИАЦИОННО-ГИГИЕНИЧЕСКИХ</w:t>
      </w:r>
    </w:p>
    <w:p>
      <w:pPr>
        <w:pStyle w:val="2"/>
        <w:jc w:val="center"/>
      </w:pPr>
      <w:r>
        <w:rPr>
          <w:sz w:val="24"/>
        </w:rPr>
        <w:t xml:space="preserve">ПАСПОРТОВ ОРГАНИЗАЦИЙ</w:t>
      </w:r>
    </w:p>
    <w:p>
      <w:pPr>
        <w:pStyle w:val="0"/>
        <w:jc w:val="both"/>
      </w:pPr>
      <w:r>
        <w:rPr>
          <w:sz w:val="24"/>
        </w:rPr>
      </w:r>
    </w:p>
    <w:p>
      <w:pPr>
        <w:pStyle w:val="0"/>
        <w:ind w:firstLine="540"/>
        <w:jc w:val="both"/>
      </w:pPr>
      <w:r>
        <w:rPr>
          <w:sz w:val="24"/>
        </w:rPr>
        <w:t xml:space="preserve">1. При заполнении раздела "Общие сведения об организации" РГПО (</w:t>
      </w:r>
      <w:hyperlink w:history="0" w:anchor="P136" w:tooltip="ФОРМА РАДИАЦИОННО-ГИГИЕНИЧЕСКОГО ПАСПОРТА">
        <w:r>
          <w:rPr>
            <w:sz w:val="24"/>
            <w:color w:val="0000ff"/>
          </w:rPr>
          <w:t xml:space="preserve">приложение 1</w:t>
        </w:r>
      </w:hyperlink>
      <w:r>
        <w:rPr>
          <w:sz w:val="24"/>
        </w:rPr>
        <w:t xml:space="preserve"> к настоящим МР) учитывается ряд особенностей, представленных ниже.</w:t>
      </w:r>
    </w:p>
    <w:p>
      <w:pPr>
        <w:pStyle w:val="0"/>
        <w:spacing w:before="240" w:lineRule="auto"/>
        <w:ind w:firstLine="540"/>
        <w:jc w:val="both"/>
      </w:pPr>
      <w:r>
        <w:rPr>
          <w:sz w:val="24"/>
        </w:rPr>
        <w:t xml:space="preserve">Полное официальное наименование организации указывается в соответствии с учредительными документами.</w:t>
      </w:r>
    </w:p>
    <w:p>
      <w:pPr>
        <w:pStyle w:val="0"/>
        <w:spacing w:before="240" w:lineRule="auto"/>
        <w:ind w:firstLine="540"/>
        <w:jc w:val="both"/>
      </w:pPr>
      <w:r>
        <w:rPr>
          <w:sz w:val="24"/>
        </w:rPr>
        <w:t xml:space="preserve">Краткое наименование организации указывается в соответствии с учредительными документами.</w:t>
      </w:r>
    </w:p>
    <w:p>
      <w:pPr>
        <w:pStyle w:val="0"/>
        <w:spacing w:before="240" w:lineRule="auto"/>
        <w:ind w:firstLine="540"/>
        <w:jc w:val="both"/>
      </w:pPr>
      <w:r>
        <w:rPr>
          <w:sz w:val="24"/>
        </w:rPr>
        <w:t xml:space="preserve">Вид организации:</w:t>
      </w:r>
    </w:p>
    <w:p>
      <w:pPr>
        <w:pStyle w:val="0"/>
        <w:spacing w:before="240" w:lineRule="auto"/>
        <w:ind w:firstLine="540"/>
        <w:jc w:val="both"/>
      </w:pPr>
      <w:r>
        <w:rPr>
          <w:sz w:val="24"/>
        </w:rPr>
        <w:t xml:space="preserve">- к атомным электростанциям относят только действующие атомные электростанции, производящие электрическую энергию;</w:t>
      </w:r>
    </w:p>
    <w:p>
      <w:pPr>
        <w:pStyle w:val="0"/>
        <w:spacing w:before="240" w:lineRule="auto"/>
        <w:ind w:firstLine="540"/>
        <w:jc w:val="both"/>
      </w:pPr>
      <w:r>
        <w:rPr>
          <w:sz w:val="24"/>
        </w:rPr>
        <w:t xml:space="preserve">- к геологоразведочным и добывающим относят организации, основная деятельность которых связана с геологоразведкой, геофизическими исследованиями месторождений полезных ископаемых и буровых скважин, с добычей полезных ископаемых, включая нефть и газ, а также с обогащением, сепарированием и иными видами переработки добываемого сырья (руд);</w:t>
      </w:r>
    </w:p>
    <w:p>
      <w:pPr>
        <w:pStyle w:val="0"/>
        <w:spacing w:before="240" w:lineRule="auto"/>
        <w:ind w:firstLine="540"/>
        <w:jc w:val="both"/>
      </w:pPr>
      <w:r>
        <w:rPr>
          <w:sz w:val="24"/>
        </w:rPr>
        <w:t xml:space="preserve">- к медучреждениям относят все учреждения, основная деятельность которых связана с медицинской диагностикой, лечением пациентов, научными исследованиями в области медицины и санаторно-оздоровительной деятельностью;</w:t>
      </w:r>
    </w:p>
    <w:p>
      <w:pPr>
        <w:pStyle w:val="0"/>
        <w:spacing w:before="240" w:lineRule="auto"/>
        <w:ind w:firstLine="540"/>
        <w:jc w:val="both"/>
      </w:pPr>
      <w:r>
        <w:rPr>
          <w:sz w:val="24"/>
        </w:rPr>
        <w:t xml:space="preserve">- к научным и учебным организациям относят учебные заведения (школы, лицеи, колледжи, техникумы, учебные институты, университеты, академии) и научные учреждения (научно-исследовательские институты, научные центры), за исключением организаций, отнесенных к прочим особо радиационно-опасным;</w:t>
      </w:r>
    </w:p>
    <w:p>
      <w:pPr>
        <w:pStyle w:val="0"/>
        <w:spacing w:before="240" w:lineRule="auto"/>
        <w:ind w:firstLine="540"/>
        <w:jc w:val="both"/>
      </w:pPr>
      <w:r>
        <w:rPr>
          <w:sz w:val="24"/>
        </w:rPr>
        <w:t xml:space="preserve">- к промышленным относят все организации, занимающиеся производством или переработкой различных видов продукции, сбором, переработкой или захоронением отходов, транспортированием, хранением, строительством, за исключением организаций, отнесенных к атомным электростанциям, геологоразведочным и добывающим, пунктам захоронения радиоактивных отходов (далее - РАО) и прочим особо радиационно-опасным;</w:t>
      </w:r>
    </w:p>
    <w:p>
      <w:pPr>
        <w:pStyle w:val="0"/>
        <w:spacing w:before="240" w:lineRule="auto"/>
        <w:ind w:firstLine="540"/>
        <w:jc w:val="both"/>
      </w:pPr>
      <w:r>
        <w:rPr>
          <w:sz w:val="24"/>
        </w:rPr>
        <w:t xml:space="preserve">- к таможенным организациям относятся таможни, осуществляющие таможенный контроль людей, транспортных средств и грузов, пересекающих таможенную границу Российской Федерации. Организации, имеющие склады временного хранения к таможенным не относятся, так как они не осуществляют таможенный контроль, а лишь предоставляют технические средства для его проведения - данные объекты относят к "прочим";</w:t>
      </w:r>
    </w:p>
    <w:p>
      <w:pPr>
        <w:pStyle w:val="0"/>
        <w:spacing w:before="240" w:lineRule="auto"/>
        <w:ind w:firstLine="540"/>
        <w:jc w:val="both"/>
      </w:pPr>
      <w:r>
        <w:rPr>
          <w:sz w:val="24"/>
        </w:rPr>
        <w:t xml:space="preserve">- к пунктам захоронения РАО относят организации, основная деятельность которых связана с захоронением РАО;</w:t>
      </w:r>
    </w:p>
    <w:p>
      <w:pPr>
        <w:pStyle w:val="0"/>
        <w:spacing w:before="240" w:lineRule="auto"/>
        <w:ind w:firstLine="540"/>
        <w:jc w:val="both"/>
      </w:pPr>
      <w:r>
        <w:rPr>
          <w:sz w:val="24"/>
        </w:rPr>
        <w:t xml:space="preserve">- к прочим особо радиационно-опасным относят организации, эксплуатирующие особо радиационно-опасные и ядерно-опасные производства и объекты &lt;17&gt;, за исключением атомных электростанций и пунктов захоронения РАО, которые выделены в отдельный вид.</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&lt;17&gt; </w:t>
      </w:r>
      <w:hyperlink w:history="0" r:id="rId31" w:tooltip="Распоряжение Правительства РФ от 14.09.2009 N 1311-р (ред. от 06.11.2024) &lt;О перечне организаций, эксплуатирующих особо радиационно опасные и ядерно опасные производства и объекты&gt; {КонсультантПлюс}">
        <w:r>
          <w:rPr>
            <w:sz w:val="24"/>
            <w:color w:val="0000ff"/>
          </w:rPr>
          <w:t xml:space="preserve">Распоряжение</w:t>
        </w:r>
      </w:hyperlink>
      <w:r>
        <w:rPr>
          <w:sz w:val="24"/>
        </w:rPr>
        <w:t xml:space="preserve"> Правительства Российской Федерации от 14.09.2009 N 1311-р "О перечне организаций, эксплуатирующих особо радиационно-опасные и ядерно-опасные производства и объекты".</w:t>
      </w:r>
    </w:p>
    <w:p>
      <w:pPr>
        <w:pStyle w:val="0"/>
        <w:jc w:val="both"/>
      </w:pPr>
      <w:r>
        <w:rPr>
          <w:sz w:val="24"/>
        </w:rPr>
      </w:r>
    </w:p>
    <w:p>
      <w:pPr>
        <w:pStyle w:val="0"/>
        <w:ind w:firstLine="540"/>
        <w:jc w:val="both"/>
      </w:pPr>
      <w:r>
        <w:rPr>
          <w:sz w:val="24"/>
        </w:rPr>
        <w:t xml:space="preserve">Если организация не подходит ни к одному из перечисленных видов, ее относят к виду "прочие".</w:t>
      </w:r>
    </w:p>
    <w:p>
      <w:pPr>
        <w:pStyle w:val="0"/>
        <w:spacing w:before="240" w:lineRule="auto"/>
        <w:ind w:firstLine="540"/>
        <w:jc w:val="both"/>
      </w:pPr>
      <w:r>
        <w:rPr>
          <w:sz w:val="24"/>
        </w:rPr>
        <w:t xml:space="preserve">Коды, идентифицирующие организацию.</w:t>
      </w:r>
    </w:p>
    <w:p>
      <w:pPr>
        <w:pStyle w:val="0"/>
        <w:spacing w:before="240" w:lineRule="auto"/>
        <w:ind w:firstLine="540"/>
        <w:jc w:val="both"/>
      </w:pPr>
      <w:r>
        <w:rPr>
          <w:sz w:val="24"/>
        </w:rPr>
        <w:t xml:space="preserve">Юридический адрес организации. Все наименования заполняются полностью.</w:t>
      </w:r>
    </w:p>
    <w:p>
      <w:pPr>
        <w:pStyle w:val="0"/>
        <w:spacing w:before="240" w:lineRule="auto"/>
        <w:ind w:firstLine="540"/>
        <w:jc w:val="both"/>
      </w:pPr>
      <w:r>
        <w:rPr>
          <w:sz w:val="24"/>
        </w:rPr>
        <w:t xml:space="preserve">Телефон и факс администрации с кодом населенного пункта, а также адрес ее электронной почты и вэб-сайта, при их наличии.</w:t>
      </w:r>
    </w:p>
    <w:p>
      <w:pPr>
        <w:pStyle w:val="0"/>
        <w:spacing w:before="240" w:lineRule="auto"/>
        <w:ind w:firstLine="540"/>
        <w:jc w:val="both"/>
      </w:pPr>
      <w:r>
        <w:rPr>
          <w:sz w:val="24"/>
        </w:rPr>
        <w:t xml:space="preserve">Дата, номер и место выдачи свидетельства о регистрации организации.</w:t>
      </w:r>
    </w:p>
    <w:p>
      <w:pPr>
        <w:pStyle w:val="0"/>
        <w:spacing w:before="240" w:lineRule="auto"/>
        <w:ind w:firstLine="540"/>
        <w:jc w:val="both"/>
      </w:pPr>
      <w:r>
        <w:rPr>
          <w:sz w:val="24"/>
        </w:rPr>
        <w:t xml:space="preserve">Регистрационный номер, дата выдачи, срок действия и разрешенные виды работ для каждой имеющейся у организации действующей лицензии на право осуществления деятельности в области использования техногенных ИИИ (далее - лицензии) заносят в соответствующую таблицу &lt;18&gt;. При отсутствии у организации действующих лицензий таблица не заполняется. Медицинские организации заносят данные действующей лицензии на медицинскую деятельность с указанием включенных в лицензию видов деятельности, связанных с использованием ИИИ (например, рентгенология, радионуклидная диагностика, брахитерапия, дистанционная гамма-терапия) &lt;19&gt;.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&lt;18&gt; </w:t>
      </w:r>
      <w:hyperlink w:history="0" r:id="rId32" w:tooltip="Постановление Главного государственного санитарного врача РФ от 26.04.2010 N 40 (ред. от 16.09.2013) &quot;Об утверждении СП 2.6.1.2612-10 &quot;Основные санитарные правила обеспечения радиационной безопасности (ОСПОРБ-99/2010)&quot; (вместе с &quot;СП 2.6.1.2612-10. ОСПОРБ-99/2010. Санитарные правила и нормативы...&quot;) (Зарегистрировано в Минюсте России 11.08.2010 N 18115) {КонсультантПлюс}">
        <w:r>
          <w:rPr>
            <w:sz w:val="24"/>
            <w:color w:val="0000ff"/>
          </w:rPr>
          <w:t xml:space="preserve">Пункт 1.8</w:t>
        </w:r>
      </w:hyperlink>
      <w:r>
        <w:rPr>
          <w:sz w:val="24"/>
        </w:rPr>
        <w:t xml:space="preserve"> ОСПОРБ-99/2010.</w:t>
      </w:r>
    </w:p>
    <w:p>
      <w:pPr>
        <w:pStyle w:val="0"/>
        <w:spacing w:before="240" w:lineRule="auto"/>
        <w:ind w:firstLine="540"/>
        <w:jc w:val="both"/>
      </w:pPr>
      <w:r>
        <w:rPr>
          <w:sz w:val="24"/>
        </w:rPr>
        <w:t xml:space="preserve">&lt;19&gt; </w:t>
      </w:r>
      <w:hyperlink w:history="0" r:id="rId33" w:tooltip="Постановление Главного государственного санитарного врача РФ от 26.04.2010 N 40 (ред. от 16.09.2013) &quot;Об утверждении СП 2.6.1.2612-10 &quot;Основные санитарные правила обеспечения радиационной безопасности (ОСПОРБ-99/2010)&quot; (вместе с &quot;СП 2.6.1.2612-10. ОСПОРБ-99/2010. Санитарные правила и нормативы...&quot;) (Зарегистрировано в Минюсте России 11.08.2010 N 18115) {КонсультантПлюс}">
        <w:r>
          <w:rPr>
            <w:sz w:val="24"/>
            <w:color w:val="0000ff"/>
          </w:rPr>
          <w:t xml:space="preserve">Пункт 3.4.1</w:t>
        </w:r>
      </w:hyperlink>
      <w:r>
        <w:rPr>
          <w:sz w:val="24"/>
        </w:rPr>
        <w:t xml:space="preserve"> ОСПОРБ-99/2010.</w:t>
      </w:r>
    </w:p>
    <w:p>
      <w:pPr>
        <w:pStyle w:val="0"/>
        <w:jc w:val="both"/>
      </w:pPr>
      <w:r>
        <w:rPr>
          <w:sz w:val="24"/>
        </w:rPr>
      </w:r>
    </w:p>
    <w:p>
      <w:pPr>
        <w:pStyle w:val="0"/>
        <w:ind w:firstLine="540"/>
        <w:jc w:val="both"/>
      </w:pPr>
      <w:r>
        <w:rPr>
          <w:sz w:val="24"/>
        </w:rPr>
        <w:t xml:space="preserve">Регистрационный номер, дату выдачи, срок действия и разрешенные виды работ для каждого имеющегося у организации санитарно-эпидемиологического заключения о соответствии санитарным правилам условий работы с ИИИ (далее - СЭЗ) &lt;20&gt;. При отсутствии у организации действующих СЭЗ таблица не заполняется.</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&lt;20&gt; </w:t>
      </w:r>
      <w:hyperlink w:history="0" r:id="rId34" w:tooltip="Постановление Главного государственного санитарного врача РФ от 26.04.2010 N 40 (ред. от 16.09.2013) &quot;Об утверждении СП 2.6.1.2612-10 &quot;Основные санитарные правила обеспечения радиационной безопасности (ОСПОРБ-99/2010)&quot; (вместе с &quot;СП 2.6.1.2612-10. ОСПОРБ-99/2010. Санитарные правила и нормативы...&quot;) (Зарегистрировано в Минюсте России 11.08.2010 N 18115) {КонсультантПлюс}">
        <w:r>
          <w:rPr>
            <w:sz w:val="24"/>
            <w:color w:val="0000ff"/>
          </w:rPr>
          <w:t xml:space="preserve">Пункт 3.4.2</w:t>
        </w:r>
      </w:hyperlink>
      <w:r>
        <w:rPr>
          <w:sz w:val="24"/>
        </w:rPr>
        <w:t xml:space="preserve"> ОСПОРБ-99/2010.</w:t>
      </w:r>
    </w:p>
    <w:p>
      <w:pPr>
        <w:pStyle w:val="0"/>
        <w:jc w:val="both"/>
      </w:pPr>
      <w:r>
        <w:rPr>
          <w:sz w:val="24"/>
        </w:rPr>
      </w:r>
    </w:p>
    <w:p>
      <w:pPr>
        <w:pStyle w:val="0"/>
        <w:ind w:firstLine="540"/>
        <w:jc w:val="both"/>
      </w:pPr>
      <w:r>
        <w:rPr>
          <w:sz w:val="24"/>
        </w:rPr>
        <w:t xml:space="preserve">2. В </w:t>
      </w:r>
      <w:hyperlink w:history="0" w:anchor="P246" w:tooltip="1.1.  Вид  разрешенных  работ  с  ИИИ  (с открытыми ИИИ; с закрытыми ИИИ; с">
        <w:r>
          <w:rPr>
            <w:sz w:val="24"/>
            <w:color w:val="0000ff"/>
          </w:rPr>
          <w:t xml:space="preserve">пункт 1.1</w:t>
        </w:r>
      </w:hyperlink>
      <w:r>
        <w:rPr>
          <w:sz w:val="24"/>
        </w:rPr>
        <w:t xml:space="preserve"> РГПО вписывают только те виды работ с ИИИ (из числа перечисленных в скобках), на проведение которых организация имеет официальное разрешение (СЭЗ, лицензию).</w:t>
      </w:r>
    </w:p>
    <w:p>
      <w:pPr>
        <w:pStyle w:val="0"/>
        <w:spacing w:before="240" w:lineRule="auto"/>
        <w:ind w:firstLine="540"/>
        <w:jc w:val="both"/>
      </w:pPr>
      <w:r>
        <w:rPr>
          <w:sz w:val="24"/>
        </w:rPr>
        <w:t xml:space="preserve">В </w:t>
      </w:r>
      <w:hyperlink w:history="0" w:anchor="P252" w:tooltip="N п/п">
        <w:r>
          <w:rPr>
            <w:sz w:val="24"/>
            <w:color w:val="0000ff"/>
          </w:rPr>
          <w:t xml:space="preserve">таблицу</w:t>
        </w:r>
      </w:hyperlink>
      <w:r>
        <w:rPr>
          <w:sz w:val="24"/>
        </w:rPr>
        <w:t xml:space="preserve"> пункта 1.1 РГПО организации, эксплуатирующие и хранящие установки с ИИИ, заносят количество имеющихся в организации установок с ИИИ различных типов (заносятся те типы установок из числа перечисленных в </w:t>
      </w:r>
      <w:hyperlink w:history="0" w:anchor="P252" w:tooltip="N п/п">
        <w:r>
          <w:rPr>
            <w:sz w:val="24"/>
            <w:color w:val="0000ff"/>
          </w:rPr>
          <w:t xml:space="preserve">таблице</w:t>
        </w:r>
      </w:hyperlink>
      <w:r>
        <w:rPr>
          <w:sz w:val="24"/>
        </w:rPr>
        <w:t xml:space="preserve">, которые имеются в организации):</w:t>
      </w:r>
    </w:p>
    <w:p>
      <w:pPr>
        <w:pStyle w:val="0"/>
        <w:spacing w:before="240" w:lineRule="auto"/>
        <w:ind w:firstLine="540"/>
        <w:jc w:val="both"/>
      </w:pPr>
      <w:r>
        <w:rPr>
          <w:sz w:val="24"/>
        </w:rPr>
        <w:t xml:space="preserve">- к досмотровым рентгеновским установкам относят все рентгеновские установки для досмотра багажа и товаров (далее - РУДБТ), рентгеновские установки, используемые для контроля упаковок пищевой продукции и рентгеновские сканеры для персонального досмотра людей (далее - РСЧ);</w:t>
      </w:r>
    </w:p>
    <w:p>
      <w:pPr>
        <w:pStyle w:val="0"/>
        <w:spacing w:before="240" w:lineRule="auto"/>
        <w:ind w:firstLine="540"/>
        <w:jc w:val="both"/>
      </w:pPr>
      <w:r>
        <w:rPr>
          <w:sz w:val="24"/>
        </w:rPr>
        <w:t xml:space="preserve">- к закрытым радионуклидным источникам относят источники, которые используются или хранятся вне радиоизотопных приборов, гамма-дефектоскопов и мощных гамма-установок (например, источники, используемые для каротажа буровых скважин, для научных исследований). Источники, входящие в состав радиоизотопных приборов, гамма-дефектоскопов, мощных гамма-установок, учитываются в их составе;</w:t>
      </w:r>
    </w:p>
    <w:p>
      <w:pPr>
        <w:pStyle w:val="0"/>
        <w:spacing w:before="240" w:lineRule="auto"/>
        <w:ind w:firstLine="540"/>
        <w:jc w:val="both"/>
      </w:pPr>
      <w:r>
        <w:rPr>
          <w:sz w:val="24"/>
        </w:rPr>
        <w:t xml:space="preserve">- к мощным гамма-установкам относят установки с закрытыми радионуклидными источниками гамма-излучения активностью более 500 Ки, предназначенные для лечения пациентов, стерилизации различных товаров или для технологического облучения материалов и изделий с целью придания им определенных физических свойств.</w:t>
      </w:r>
    </w:p>
    <w:p>
      <w:pPr>
        <w:pStyle w:val="0"/>
        <w:spacing w:before="240" w:lineRule="auto"/>
        <w:ind w:firstLine="540"/>
        <w:jc w:val="both"/>
      </w:pPr>
      <w:r>
        <w:rPr>
          <w:sz w:val="24"/>
        </w:rPr>
        <w:t xml:space="preserve">- к нейтронным генераторам относят установки, предназначенные для генерации нейтронов за счет облучения ускоренными ядрами дейтерия мишеней, содержащих дейтерий или тритий;</w:t>
      </w:r>
    </w:p>
    <w:p>
      <w:pPr>
        <w:pStyle w:val="0"/>
        <w:spacing w:before="240" w:lineRule="auto"/>
        <w:ind w:firstLine="540"/>
        <w:jc w:val="both"/>
      </w:pPr>
      <w:r>
        <w:rPr>
          <w:sz w:val="24"/>
        </w:rPr>
        <w:t xml:space="preserve">- к радиоизотопным приборам относят приборы, действие которых основано на использовании ионизирующего излучения содержащихся в них закрытых радионуклидных источников;</w:t>
      </w:r>
    </w:p>
    <w:p>
      <w:pPr>
        <w:pStyle w:val="0"/>
        <w:spacing w:before="240" w:lineRule="auto"/>
        <w:ind w:firstLine="540"/>
        <w:jc w:val="both"/>
      </w:pPr>
      <w:r>
        <w:rPr>
          <w:sz w:val="24"/>
        </w:rPr>
        <w:t xml:space="preserve">- к рентгеновским медицинским аппаратам относят рентгеновские аппараты, предназначенные для диагностики или лечения пациентов;</w:t>
      </w:r>
    </w:p>
    <w:p>
      <w:pPr>
        <w:pStyle w:val="0"/>
        <w:spacing w:before="240" w:lineRule="auto"/>
        <w:ind w:firstLine="540"/>
        <w:jc w:val="both"/>
      </w:pPr>
      <w:r>
        <w:rPr>
          <w:sz w:val="24"/>
        </w:rPr>
        <w:t xml:space="preserve">- к хранилищам радиоактивных веществ относят хранилища радиоактивных веществ в открытом виде, в том числе в отделениях радионуклидной диагностики; хранилища закрытых радионуклидных источников к данному типу не относятся, учитываются сами закрытые радионуклидные источники;</w:t>
      </w:r>
    </w:p>
    <w:p>
      <w:pPr>
        <w:pStyle w:val="0"/>
        <w:spacing w:before="240" w:lineRule="auto"/>
        <w:ind w:firstLine="540"/>
        <w:jc w:val="both"/>
      </w:pPr>
      <w:r>
        <w:rPr>
          <w:sz w:val="24"/>
        </w:rPr>
        <w:t xml:space="preserve">- к ядерным реакторам исследовательским и критсборкам относят соответствующие установки, используемые для проведения научных исследований;</w:t>
      </w:r>
    </w:p>
    <w:p>
      <w:pPr>
        <w:pStyle w:val="0"/>
        <w:spacing w:before="240" w:lineRule="auto"/>
        <w:ind w:firstLine="540"/>
        <w:jc w:val="both"/>
      </w:pPr>
      <w:r>
        <w:rPr>
          <w:sz w:val="24"/>
        </w:rPr>
        <w:t xml:space="preserve">- к ядерным реакторам энергетическим и промышленным относят мощные ядерные реакторы (например, для облучения материалов и изделий, наработки изотопов, получения горячей воды, электричества).</w:t>
      </w:r>
    </w:p>
    <w:p>
      <w:pPr>
        <w:pStyle w:val="0"/>
        <w:spacing w:before="240" w:lineRule="auto"/>
        <w:ind w:firstLine="540"/>
        <w:jc w:val="both"/>
      </w:pPr>
      <w:r>
        <w:rPr>
          <w:sz w:val="24"/>
        </w:rPr>
        <w:t xml:space="preserve">Если установка с ИИИ не относится ни к одному из перечисленных в таблице типов, ее относят к типу "прочие".</w:t>
      </w:r>
    </w:p>
    <w:p>
      <w:pPr>
        <w:pStyle w:val="0"/>
        <w:spacing w:before="240" w:lineRule="auto"/>
        <w:ind w:firstLine="540"/>
        <w:jc w:val="both"/>
      </w:pPr>
      <w:r>
        <w:rPr>
          <w:sz w:val="24"/>
        </w:rPr>
        <w:t xml:space="preserve">3. В </w:t>
      </w:r>
      <w:hyperlink w:history="0" w:anchor="P307" w:tooltip="1.2. Основное направление деятельности организации (предприятия) по работе с ИИИ:">
        <w:r>
          <w:rPr>
            <w:sz w:val="24"/>
            <w:color w:val="0000ff"/>
          </w:rPr>
          <w:t xml:space="preserve">пункт 1.2</w:t>
        </w:r>
      </w:hyperlink>
      <w:r>
        <w:rPr>
          <w:sz w:val="24"/>
        </w:rPr>
        <w:t xml:space="preserve"> РГПО заносят основные направления деятельности организации, связанные с использованием техногенных ИИИ, например, промышленная дефектоскопия, переработка и захоронение радиоактивных отходов, рентгенодиагностика). Далее в этом пункте указывается категория потенциальной радиационной опасности радиационного объекта &lt;21&gt;.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&lt;21&gt; </w:t>
      </w:r>
      <w:hyperlink w:history="0" r:id="rId35" w:tooltip="Постановление Главного государственного санитарного врача РФ от 26.04.2010 N 40 (ред. от 16.09.2013) &quot;Об утверждении СП 2.6.1.2612-10 &quot;Основные санитарные правила обеспечения радиационной безопасности (ОСПОРБ-99/2010)&quot; (вместе с &quot;СП 2.6.1.2612-10. ОСПОРБ-99/2010. Санитарные правила и нормативы...&quot;) (Зарегистрировано в Минюсте России 11.08.2010 N 18115) {КонсультантПлюс}">
        <w:r>
          <w:rPr>
            <w:sz w:val="24"/>
            <w:color w:val="0000ff"/>
          </w:rPr>
          <w:t xml:space="preserve">Пункт 3.1</w:t>
        </w:r>
      </w:hyperlink>
      <w:r>
        <w:rPr>
          <w:sz w:val="24"/>
        </w:rPr>
        <w:t xml:space="preserve"> ОСПОРБ-99/2010.</w:t>
      </w:r>
    </w:p>
    <w:p>
      <w:pPr>
        <w:pStyle w:val="0"/>
        <w:jc w:val="both"/>
      </w:pPr>
      <w:r>
        <w:rPr>
          <w:sz w:val="24"/>
        </w:rPr>
      </w:r>
    </w:p>
    <w:p>
      <w:pPr>
        <w:pStyle w:val="0"/>
        <w:ind w:firstLine="540"/>
        <w:jc w:val="both"/>
      </w:pPr>
      <w:r>
        <w:rPr>
          <w:sz w:val="24"/>
        </w:rPr>
        <w:t xml:space="preserve">4. В </w:t>
      </w:r>
      <w:hyperlink w:history="0" w:anchor="P313" w:tooltip="Численность персонала (чел.), проводящего работы с открытыми источниками излучения">
        <w:r>
          <w:rPr>
            <w:sz w:val="24"/>
            <w:color w:val="0000ff"/>
          </w:rPr>
          <w:t xml:space="preserve">таблицу</w:t>
        </w:r>
      </w:hyperlink>
      <w:r>
        <w:rPr>
          <w:sz w:val="24"/>
        </w:rPr>
        <w:t xml:space="preserve"> пункта 1.3 РГПО заносят численность персонала организации, проводящего работы I, II и III классов с открытыми радионуклидными ИИИ &lt;22&gt; отдельно по каждому классу. При отсутствии таких работ в организации таблица не заполняется.</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&lt;22&gt; </w:t>
      </w:r>
      <w:hyperlink w:history="0" r:id="rId36" w:tooltip="Постановление Главного государственного санитарного врача РФ от 26.04.2010 N 40 (ред. от 16.09.2013) &quot;Об утверждении СП 2.6.1.2612-10 &quot;Основные санитарные правила обеспечения радиационной безопасности (ОСПОРБ-99/2010)&quot; (вместе с &quot;СП 2.6.1.2612-10. ОСПОРБ-99/2010. Санитарные правила и нормативы...&quot;) (Зарегистрировано в Минюсте России 11.08.2010 N 18115) {КонсультантПлюс}">
        <w:r>
          <w:rPr>
            <w:sz w:val="24"/>
            <w:color w:val="0000ff"/>
          </w:rPr>
          <w:t xml:space="preserve">Пункт 3.8.2</w:t>
        </w:r>
      </w:hyperlink>
      <w:r>
        <w:rPr>
          <w:sz w:val="24"/>
        </w:rPr>
        <w:t xml:space="preserve"> ОСПОРБ-99/2010.</w:t>
      </w:r>
    </w:p>
    <w:p>
      <w:pPr>
        <w:pStyle w:val="0"/>
        <w:jc w:val="both"/>
      </w:pPr>
      <w:r>
        <w:rPr>
          <w:sz w:val="24"/>
        </w:rPr>
      </w:r>
    </w:p>
    <w:p>
      <w:pPr>
        <w:pStyle w:val="0"/>
        <w:ind w:firstLine="540"/>
        <w:jc w:val="both"/>
      </w:pPr>
      <w:r>
        <w:rPr>
          <w:sz w:val="24"/>
        </w:rPr>
        <w:t xml:space="preserve">5. В </w:t>
      </w:r>
      <w:hyperlink w:history="0" w:anchor="P321" w:tooltip="2. Характеристика организации (предприятия), как потенциального источника радиоактивного загрязнения окружающей среды">
        <w:r>
          <w:rPr>
            <w:sz w:val="24"/>
            <w:color w:val="0000ff"/>
          </w:rPr>
          <w:t xml:space="preserve">раздел 2</w:t>
        </w:r>
      </w:hyperlink>
      <w:r>
        <w:rPr>
          <w:sz w:val="24"/>
        </w:rPr>
        <w:t xml:space="preserve"> РГПО заносят информацию, характеризующую организацию, как потенциальный источник загрязнения окружающей среды. В него заносят информацию о связанных с деятельностью организации жидких сбросах техногенных радионуклидов, газообразных выбросах техногенных радионуклидов в атмосферный воздух, а также о степени воздействия деятельности организации на радиационную обстановку в ее санитарно-защитной зоне (далее - СЗЗ), для организаций, имеющих СЗЗ, и в ее зоне наблюдения (далее - ЗН), для организаций, имеющих ЗН. При заполнении этого </w:t>
      </w:r>
      <w:hyperlink w:history="0" w:anchor="P321" w:tooltip="2. Характеристика организации (предприятия), как потенциального источника радиоактивного загрязнения окружающей среды">
        <w:r>
          <w:rPr>
            <w:sz w:val="24"/>
            <w:color w:val="0000ff"/>
          </w:rPr>
          <w:t xml:space="preserve">раздела</w:t>
        </w:r>
      </w:hyperlink>
      <w:r>
        <w:rPr>
          <w:sz w:val="24"/>
        </w:rPr>
        <w:t xml:space="preserve"> используют данные, полученные в рамках проводимого организацией в течение года производственного радиационного контроля &lt;23&gt; и результаты измерений ЛРК &lt;24&gt;.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&lt;23&gt; </w:t>
      </w:r>
      <w:hyperlink w:history="0" r:id="rId37" w:tooltip="Постановление Главного государственного санитарного врача РФ от 26.04.2010 N 40 (ред. от 16.09.2013) &quot;Об утверждении СП 2.6.1.2612-10 &quot;Основные санитарные правила обеспечения радиационной безопасности (ОСПОРБ-99/2010)&quot; (вместе с &quot;СП 2.6.1.2612-10. ОСПОРБ-99/2010. Санитарные правила и нормативы...&quot;) (Зарегистрировано в Минюсте России 11.08.2010 N 18115) {КонсультантПлюс}">
        <w:r>
          <w:rPr>
            <w:sz w:val="24"/>
            <w:color w:val="0000ff"/>
          </w:rPr>
          <w:t xml:space="preserve">Пункт 2.4.1</w:t>
        </w:r>
      </w:hyperlink>
      <w:r>
        <w:rPr>
          <w:sz w:val="24"/>
        </w:rPr>
        <w:t xml:space="preserve">. ОСПОРБ-99/2010.</w:t>
      </w:r>
    </w:p>
    <w:p>
      <w:pPr>
        <w:pStyle w:val="0"/>
        <w:spacing w:before="240" w:lineRule="auto"/>
        <w:ind w:firstLine="540"/>
        <w:jc w:val="both"/>
      </w:pPr>
      <w:r>
        <w:rPr>
          <w:sz w:val="24"/>
        </w:rPr>
        <w:t xml:space="preserve">&lt;24&gt; Федеральный </w:t>
      </w:r>
      <w:hyperlink w:history="0" r:id="rId38" w:tooltip="Федеральный закон от 28.12.2013 N 412-ФЗ (ред. от 31.07.2025) &quot;Об аккредитации в национальной системе аккредитации&quot; {КонсультантПлюс}">
        <w:r>
          <w:rPr>
            <w:sz w:val="24"/>
            <w:color w:val="0000ff"/>
          </w:rPr>
          <w:t xml:space="preserve">закон</w:t>
        </w:r>
      </w:hyperlink>
      <w:r>
        <w:rPr>
          <w:sz w:val="24"/>
        </w:rPr>
        <w:t xml:space="preserve"> от 28.12.2013 N 412-ФЗ.</w:t>
      </w:r>
    </w:p>
    <w:p>
      <w:pPr>
        <w:pStyle w:val="0"/>
        <w:jc w:val="both"/>
      </w:pPr>
      <w:r>
        <w:rPr>
          <w:sz w:val="24"/>
        </w:rPr>
      </w:r>
    </w:p>
    <w:p>
      <w:pPr>
        <w:pStyle w:val="0"/>
        <w:ind w:firstLine="540"/>
        <w:jc w:val="both"/>
      </w:pPr>
      <w:r>
        <w:rPr>
          <w:sz w:val="24"/>
        </w:rPr>
        <w:t xml:space="preserve">6. </w:t>
      </w:r>
      <w:hyperlink w:history="0" w:anchor="P323" w:tooltip="2.1. Годовые выбросы радионуклидов в атмосферу">
        <w:r>
          <w:rPr>
            <w:sz w:val="24"/>
            <w:color w:val="0000ff"/>
          </w:rPr>
          <w:t xml:space="preserve">Пункты 2.1</w:t>
        </w:r>
      </w:hyperlink>
      <w:r>
        <w:rPr>
          <w:sz w:val="24"/>
        </w:rPr>
        <w:t xml:space="preserve"> - </w:t>
      </w:r>
      <w:hyperlink w:history="0" w:anchor="P344" w:tooltip="2.2. Годовые сбросы радионуклидов в водоемы">
        <w:r>
          <w:rPr>
            <w:sz w:val="24"/>
            <w:color w:val="0000ff"/>
          </w:rPr>
          <w:t xml:space="preserve">2.2</w:t>
        </w:r>
      </w:hyperlink>
      <w:r>
        <w:rPr>
          <w:sz w:val="24"/>
        </w:rPr>
        <w:t xml:space="preserve"> заполняют только организации, осуществляющие жидкие сбросы или газообразные выбросы техногенных радионуклидов, </w:t>
      </w:r>
      <w:hyperlink w:history="0" w:anchor="P369" w:tooltip="2.3. Среднегодовая мощность эквивалентной дозы внешнего излучения на границе санитарно-защитной зоны, мкЗв/час">
        <w:r>
          <w:rPr>
            <w:sz w:val="24"/>
            <w:color w:val="0000ff"/>
          </w:rPr>
          <w:t xml:space="preserve">пункты 2.3</w:t>
        </w:r>
      </w:hyperlink>
      <w:r>
        <w:rPr>
          <w:sz w:val="24"/>
        </w:rPr>
        <w:t xml:space="preserve"> - </w:t>
      </w:r>
      <w:hyperlink w:history="0" w:anchor="P380" w:tooltip="2.4. Среднегодовые объемная активность радионуклидов в воздухе (в мБк/м3 и в единицах допустимой объемной активности для населения - ДОАнас) и удельная активность радионуклидов в воде открытых водных объектов (в Бк/кг и в единицах уровней вмешательства - УВ) в санитарно-защитной зоне">
        <w:r>
          <w:rPr>
            <w:sz w:val="24"/>
            <w:color w:val="0000ff"/>
          </w:rPr>
          <w:t xml:space="preserve">2.4</w:t>
        </w:r>
      </w:hyperlink>
      <w:r>
        <w:rPr>
          <w:sz w:val="24"/>
        </w:rPr>
        <w:t xml:space="preserve"> заполняют только организации, имеющие установленную СЗЗ, а </w:t>
      </w:r>
      <w:hyperlink w:history="0" w:anchor="P466" w:tooltip="2.5. Среднегодовые объемная активность радионуклидов в воздухе (в мБк/м3 и в единицах допустимой объемной активности для населения - ДОАнас) и удельная активность радионуклидов в воде открытых водных объектов (в Бк/кг и в единицах уровней вмешательства - УВ) в зоне наблюдения">
        <w:r>
          <w:rPr>
            <w:sz w:val="24"/>
            <w:color w:val="0000ff"/>
          </w:rPr>
          <w:t xml:space="preserve">пункты 2.5</w:t>
        </w:r>
      </w:hyperlink>
      <w:r>
        <w:rPr>
          <w:sz w:val="24"/>
        </w:rPr>
        <w:t xml:space="preserve"> - </w:t>
      </w:r>
      <w:hyperlink w:history="0" w:anchor="P552" w:tooltip="2.6. Удельная активность радионуклидов в пищевых продуктах, производимых в зоне наблюдения, Бк/кг">
        <w:r>
          <w:rPr>
            <w:sz w:val="24"/>
            <w:color w:val="0000ff"/>
          </w:rPr>
          <w:t xml:space="preserve">2.6</w:t>
        </w:r>
      </w:hyperlink>
      <w:r>
        <w:rPr>
          <w:sz w:val="24"/>
        </w:rPr>
        <w:t xml:space="preserve"> - организации, имеющие установленную ЗН.</w:t>
      </w:r>
    </w:p>
    <w:p>
      <w:pPr>
        <w:pStyle w:val="0"/>
        <w:spacing w:before="240" w:lineRule="auto"/>
        <w:ind w:firstLine="540"/>
        <w:jc w:val="both"/>
      </w:pPr>
      <w:r>
        <w:rPr>
          <w:sz w:val="24"/>
        </w:rPr>
        <w:t xml:space="preserve">В </w:t>
      </w:r>
      <w:hyperlink w:history="0" w:anchor="P325" w:tooltip="Радионуклид">
        <w:r>
          <w:rPr>
            <w:sz w:val="24"/>
            <w:color w:val="0000ff"/>
          </w:rPr>
          <w:t xml:space="preserve">таблицу</w:t>
        </w:r>
      </w:hyperlink>
      <w:r>
        <w:rPr>
          <w:sz w:val="24"/>
        </w:rPr>
        <w:t xml:space="preserve"> пункта 2.1 РГПО для каждого из контролируемых радионуклидов заносят:</w:t>
      </w:r>
    </w:p>
    <w:p>
      <w:pPr>
        <w:pStyle w:val="0"/>
        <w:spacing w:before="240" w:lineRule="auto"/>
        <w:ind w:firstLine="540"/>
        <w:jc w:val="both"/>
      </w:pPr>
      <w:r>
        <w:rPr>
          <w:sz w:val="24"/>
        </w:rPr>
        <w:t xml:space="preserve">значения суммарной активности отдельных радионуклидов в газообразных выбросах в окружающую среду, связанных с деятельностью организации (фактический вырос), за отчетный год;</w:t>
      </w:r>
    </w:p>
    <w:p>
      <w:pPr>
        <w:pStyle w:val="0"/>
        <w:spacing w:before="240" w:lineRule="auto"/>
        <w:ind w:firstLine="540"/>
        <w:jc w:val="both"/>
      </w:pPr>
      <w:r>
        <w:rPr>
          <w:sz w:val="24"/>
        </w:rPr>
        <w:t xml:space="preserve">значения установленных для организации предельно допустимых выбросов (далее - ПДВ) радионуклидов;</w:t>
      </w:r>
    </w:p>
    <w:p>
      <w:pPr>
        <w:pStyle w:val="0"/>
        <w:spacing w:before="240" w:lineRule="auto"/>
        <w:ind w:firstLine="540"/>
        <w:jc w:val="both"/>
      </w:pPr>
      <w:r>
        <w:rPr>
          <w:sz w:val="24"/>
        </w:rPr>
        <w:t xml:space="preserve">отношения величин фактического выброса радионуклидов к их ПДВ.</w:t>
      </w:r>
    </w:p>
    <w:p>
      <w:pPr>
        <w:pStyle w:val="0"/>
        <w:spacing w:before="240" w:lineRule="auto"/>
        <w:ind w:firstLine="540"/>
        <w:jc w:val="both"/>
      </w:pPr>
      <w:r>
        <w:rPr>
          <w:sz w:val="24"/>
        </w:rPr>
        <w:t xml:space="preserve">Величина годового выброса радионуклидов в окружающую среду определяется по данным радиационного контроля на газообразном выбросе. Организации оборонного комплекса заполняют только </w:t>
      </w:r>
      <w:hyperlink w:history="0" w:anchor="P325" w:tooltip="Радионуклид">
        <w:r>
          <w:rPr>
            <w:sz w:val="24"/>
            <w:color w:val="0000ff"/>
          </w:rPr>
          <w:t xml:space="preserve">первую</w:t>
        </w:r>
      </w:hyperlink>
      <w:r>
        <w:rPr>
          <w:sz w:val="24"/>
        </w:rPr>
        <w:t xml:space="preserve"> и </w:t>
      </w:r>
      <w:hyperlink w:history="0" w:anchor="P328" w:tooltip="Отношение фактического выброса к ПДВ">
        <w:r>
          <w:rPr>
            <w:sz w:val="24"/>
            <w:color w:val="0000ff"/>
          </w:rPr>
          <w:t xml:space="preserve">четвертую</w:t>
        </w:r>
      </w:hyperlink>
      <w:r>
        <w:rPr>
          <w:sz w:val="24"/>
        </w:rPr>
        <w:t xml:space="preserve"> колонки таблицы. В </w:t>
      </w:r>
      <w:hyperlink w:history="0" w:anchor="P325" w:tooltip="Радионуклид">
        <w:r>
          <w:rPr>
            <w:sz w:val="24"/>
            <w:color w:val="0000ff"/>
          </w:rPr>
          <w:t xml:space="preserve">таблицу</w:t>
        </w:r>
      </w:hyperlink>
      <w:r>
        <w:rPr>
          <w:sz w:val="24"/>
        </w:rPr>
        <w:t xml:space="preserve"> заносятся данные для всех радионуклидов, по которым для организации установлена величина ПДВ и (или) имеются данные измерений фактического выброса.</w:t>
      </w:r>
    </w:p>
    <w:p>
      <w:pPr>
        <w:pStyle w:val="0"/>
        <w:spacing w:before="240" w:lineRule="auto"/>
        <w:ind w:firstLine="540"/>
        <w:jc w:val="both"/>
      </w:pPr>
      <w:r>
        <w:rPr>
          <w:sz w:val="24"/>
        </w:rPr>
        <w:t xml:space="preserve">7. В </w:t>
      </w:r>
      <w:hyperlink w:history="0" w:anchor="P346" w:tooltip="Радионуклид">
        <w:r>
          <w:rPr>
            <w:sz w:val="24"/>
            <w:color w:val="0000ff"/>
          </w:rPr>
          <w:t xml:space="preserve">таблицу</w:t>
        </w:r>
      </w:hyperlink>
      <w:r>
        <w:rPr>
          <w:sz w:val="24"/>
        </w:rPr>
        <w:t xml:space="preserve"> пункта 2.2 РГПО для каждого из контролируемых радионуклидов заносят:</w:t>
      </w:r>
    </w:p>
    <w:p>
      <w:pPr>
        <w:pStyle w:val="0"/>
        <w:spacing w:before="240" w:lineRule="auto"/>
        <w:ind w:firstLine="540"/>
        <w:jc w:val="both"/>
      </w:pPr>
      <w:r>
        <w:rPr>
          <w:sz w:val="24"/>
        </w:rPr>
        <w:t xml:space="preserve">значения суммарной активности отдельных радионуклидов в жидких сбросах, связанных с деятельностью организации (фактический сброс), за отчетный год;</w:t>
      </w:r>
    </w:p>
    <w:p>
      <w:pPr>
        <w:pStyle w:val="0"/>
        <w:spacing w:before="240" w:lineRule="auto"/>
        <w:ind w:firstLine="540"/>
        <w:jc w:val="both"/>
      </w:pPr>
      <w:r>
        <w:rPr>
          <w:sz w:val="24"/>
        </w:rPr>
        <w:t xml:space="preserve">значения установленных для организации предельно допустимых сбросов (далее - ПДС) радионуклидов;</w:t>
      </w:r>
    </w:p>
    <w:p>
      <w:pPr>
        <w:pStyle w:val="0"/>
        <w:spacing w:before="240" w:lineRule="auto"/>
        <w:ind w:firstLine="540"/>
        <w:jc w:val="both"/>
      </w:pPr>
      <w:r>
        <w:rPr>
          <w:sz w:val="24"/>
        </w:rPr>
        <w:t xml:space="preserve">отношения величин фактического сброса радионуклидов к их ПДС.</w:t>
      </w:r>
    </w:p>
    <w:p>
      <w:pPr>
        <w:pStyle w:val="0"/>
        <w:spacing w:before="240" w:lineRule="auto"/>
        <w:ind w:firstLine="540"/>
        <w:jc w:val="both"/>
      </w:pPr>
      <w:r>
        <w:rPr>
          <w:sz w:val="24"/>
        </w:rPr>
        <w:t xml:space="preserve">Величина годового сброса радионуклидов определяется по данным радиационного технологического контроля жидких сбросов организации &lt;25&gt;. В </w:t>
      </w:r>
      <w:hyperlink w:history="0" w:anchor="P346" w:tooltip="Радионуклид">
        <w:r>
          <w:rPr>
            <w:sz w:val="24"/>
            <w:color w:val="0000ff"/>
          </w:rPr>
          <w:t xml:space="preserve">таблицу</w:t>
        </w:r>
      </w:hyperlink>
      <w:r>
        <w:rPr>
          <w:sz w:val="24"/>
        </w:rPr>
        <w:t xml:space="preserve"> заносятся данные для всех радионуклидов, по которым для организации установлен ПДС и (или) имеются данные измерений фактического сброса.</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&lt;25&gt; </w:t>
      </w:r>
      <w:hyperlink w:history="0" r:id="rId39" w:tooltip="Постановление Главного государственного санитарного врача РФ от 26.04.2010 N 40 (ред. от 16.09.2013) &quot;Об утверждении СП 2.6.1.2612-10 &quot;Основные санитарные правила обеспечения радиационной безопасности (ОСПОРБ-99/2010)&quot; (вместе с &quot;СП 2.6.1.2612-10. ОСПОРБ-99/2010. Санитарные правила и нормативы...&quot;) (Зарегистрировано в Минюсте России 11.08.2010 N 18115) {КонсультантПлюс}">
        <w:r>
          <w:rPr>
            <w:sz w:val="24"/>
            <w:color w:val="0000ff"/>
          </w:rPr>
          <w:t xml:space="preserve">Пункт 3.13.3</w:t>
        </w:r>
      </w:hyperlink>
      <w:r>
        <w:rPr>
          <w:sz w:val="24"/>
        </w:rPr>
        <w:t xml:space="preserve"> ОСПОРБ-99/2010.</w:t>
      </w:r>
    </w:p>
    <w:p>
      <w:pPr>
        <w:pStyle w:val="0"/>
        <w:jc w:val="both"/>
      </w:pPr>
      <w:r>
        <w:rPr>
          <w:sz w:val="24"/>
        </w:rPr>
      </w:r>
    </w:p>
    <w:p>
      <w:pPr>
        <w:pStyle w:val="0"/>
        <w:ind w:firstLine="540"/>
        <w:jc w:val="both"/>
      </w:pPr>
      <w:r>
        <w:rPr>
          <w:sz w:val="24"/>
        </w:rPr>
        <w:t xml:space="preserve">8. В соответствующие поля </w:t>
      </w:r>
      <w:hyperlink w:history="0" w:anchor="P371" w:tooltip="Число измерений">
        <w:r>
          <w:rPr>
            <w:sz w:val="24"/>
            <w:color w:val="0000ff"/>
          </w:rPr>
          <w:t xml:space="preserve">таблицы</w:t>
        </w:r>
      </w:hyperlink>
      <w:r>
        <w:rPr>
          <w:sz w:val="24"/>
        </w:rPr>
        <w:t xml:space="preserve"> пункта 2.3 РГПО заносят минимальное, среднее за год и максимальное значения мощности амбиентного эквивалента дозы гамма-излучения на границе СЗЗ. Эти величины получают на основе результатов измерений на границе СЗЗ в рамках проводимого организацией в течение года производственного радиационного контроля &lt;26&gt;.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&lt;26&gt; </w:t>
      </w:r>
      <w:hyperlink w:history="0" r:id="rId40" w:tooltip="Постановление Главного государственного санитарного врача РФ от 26.04.2010 N 40 (ред. от 16.09.2013) &quot;Об утверждении СП 2.6.1.2612-10 &quot;Основные санитарные правила обеспечения радиационной безопасности (ОСПОРБ-99/2010)&quot; (вместе с &quot;СП 2.6.1.2612-10. ОСПОРБ-99/2010. Санитарные правила и нормативы...&quot;) (Зарегистрировано в Минюсте России 11.08.2010 N 18115) {КонсультантПлюс}">
        <w:r>
          <w:rPr>
            <w:sz w:val="24"/>
            <w:color w:val="0000ff"/>
          </w:rPr>
          <w:t xml:space="preserve">Пункт 2.4.1</w:t>
        </w:r>
      </w:hyperlink>
      <w:r>
        <w:rPr>
          <w:sz w:val="24"/>
        </w:rPr>
        <w:t xml:space="preserve"> ОСПОРБ-99/2010.</w:t>
      </w:r>
    </w:p>
    <w:p>
      <w:pPr>
        <w:pStyle w:val="0"/>
        <w:jc w:val="both"/>
      </w:pPr>
      <w:r>
        <w:rPr>
          <w:sz w:val="24"/>
        </w:rPr>
      </w:r>
    </w:p>
    <w:p>
      <w:pPr>
        <w:pStyle w:val="0"/>
        <w:ind w:firstLine="540"/>
        <w:jc w:val="both"/>
      </w:pPr>
      <w:r>
        <w:rPr>
          <w:sz w:val="24"/>
        </w:rPr>
        <w:t xml:space="preserve">9. В столбцы </w:t>
      </w:r>
      <w:hyperlink w:history="0" w:anchor="P382" w:tooltip="Радионуклиды">
        <w:r>
          <w:rPr>
            <w:sz w:val="24"/>
            <w:color w:val="0000ff"/>
          </w:rPr>
          <w:t xml:space="preserve">таблицы</w:t>
        </w:r>
      </w:hyperlink>
      <w:r>
        <w:rPr>
          <w:sz w:val="24"/>
        </w:rPr>
        <w:t xml:space="preserve"> пункта 2.4 РГПО для каждого из контролируемых радионуклидов заносят:</w:t>
      </w:r>
    </w:p>
    <w:p>
      <w:pPr>
        <w:pStyle w:val="0"/>
        <w:spacing w:before="240" w:lineRule="auto"/>
        <w:ind w:firstLine="540"/>
        <w:jc w:val="both"/>
      </w:pPr>
      <w:r>
        <w:rPr>
          <w:sz w:val="24"/>
        </w:rPr>
        <w:t xml:space="preserve">число исследованных проб, среднее и максимальное значения результатов измерений объемной активности техногенных радионуклидов в атмосферном воздухе СЗЗ, как в абсолютных единицах (мБк/м</w:t>
      </w:r>
      <w:r>
        <w:rPr>
          <w:sz w:val="24"/>
          <w:vertAlign w:val="superscript"/>
        </w:rPr>
        <w:t xml:space="preserve">3</w:t>
      </w:r>
      <w:r>
        <w:rPr>
          <w:sz w:val="24"/>
        </w:rPr>
        <w:t xml:space="preserve">), так и в виде отношений их к значениям допустимых объемных активностей во вдыхаемом воздухе для критических групп населения (далее - ДОА</w:t>
      </w:r>
      <w:r>
        <w:rPr>
          <w:sz w:val="24"/>
          <w:vertAlign w:val="subscript"/>
        </w:rPr>
        <w:t xml:space="preserve">нас</w:t>
      </w:r>
      <w:r>
        <w:rPr>
          <w:sz w:val="24"/>
        </w:rPr>
        <w:t xml:space="preserve">) соответствующих радионуклидов &lt;27&gt;, число измеренных проб, среднее и максимальное значения суммарной бета-активности (далее - СБА) атмосферного воздуха в СЗЗ (мБк/м</w:t>
      </w:r>
      <w:r>
        <w:rPr>
          <w:sz w:val="24"/>
          <w:vertAlign w:val="superscript"/>
        </w:rPr>
        <w:t xml:space="preserve">3</w:t>
      </w:r>
      <w:r>
        <w:rPr>
          <w:sz w:val="24"/>
        </w:rPr>
        <w:t xml:space="preserve">);</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&lt;27&gt; </w:t>
      </w:r>
      <w:hyperlink w:history="0" r:id="rId41" w:tooltip="Постановление Главного государственного санитарного врача РФ от 07.07.2009 N 47 &quot;Об утверждении СанПиН 2.6.1.2523-09&quot; (вместе с &quot;НРБ-99/2009. СанПиН 2.6.1.2523-09. Нормы радиационной безопасности. Санитарные правила и нормативы&quot;) (Зарегистрировано в Минюсте РФ 14.08.2009 N 14534) {КонсультантПлюс}">
        <w:r>
          <w:rPr>
            <w:sz w:val="24"/>
            <w:color w:val="0000ff"/>
          </w:rPr>
          <w:t xml:space="preserve">Приложение 2</w:t>
        </w:r>
      </w:hyperlink>
      <w:r>
        <w:rPr>
          <w:sz w:val="24"/>
        </w:rPr>
        <w:t xml:space="preserve"> к НРБ-99/2009.</w:t>
      </w:r>
    </w:p>
    <w:p>
      <w:pPr>
        <w:pStyle w:val="0"/>
        <w:jc w:val="both"/>
      </w:pPr>
      <w:r>
        <w:rPr>
          <w:sz w:val="24"/>
        </w:rPr>
      </w:r>
    </w:p>
    <w:p>
      <w:pPr>
        <w:pStyle w:val="0"/>
        <w:ind w:firstLine="540"/>
        <w:jc w:val="both"/>
      </w:pPr>
      <w:r>
        <w:rPr>
          <w:sz w:val="24"/>
        </w:rPr>
        <w:t xml:space="preserve">число исследованных проб, среднее и максимальное значения результатов измерений удельной активности радионуклидов в воде расположенных в СЗЗ открытых водоемов, как в абсолютных единицах (Бк/кг), так и в виде отношения их к значениям уровней вмешательства по содержанию отдельных радионуклидов в питьевой воде (далее - УВ) для соответствующих радионуклидов &lt;28&gt;, число исследованных проб, среднее и максимальное значения суммарной альфа-активности (далее - САА) и СБА проб воды из открытых водоемов СЗЗ (Бк/кг).</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&lt;28&gt; </w:t>
      </w:r>
      <w:hyperlink w:history="0" r:id="rId42" w:tooltip="Постановление Главного государственного санитарного врача РФ от 07.07.2009 N 47 &quot;Об утверждении СанПиН 2.6.1.2523-09&quot; (вместе с &quot;НРБ-99/2009. СанПиН 2.6.1.2523-09. Нормы радиационной безопасности. Санитарные правила и нормативы&quot;) (Зарегистрировано в Минюсте РФ 14.08.2009 N 14534) {КонсультантПлюс}">
        <w:r>
          <w:rPr>
            <w:sz w:val="24"/>
            <w:color w:val="0000ff"/>
          </w:rPr>
          <w:t xml:space="preserve">Приложение 2а</w:t>
        </w:r>
      </w:hyperlink>
      <w:r>
        <w:rPr>
          <w:sz w:val="24"/>
        </w:rPr>
        <w:t xml:space="preserve"> к НРБ-99/2009.</w:t>
      </w:r>
    </w:p>
    <w:p>
      <w:pPr>
        <w:pStyle w:val="0"/>
        <w:jc w:val="both"/>
      </w:pPr>
      <w:r>
        <w:rPr>
          <w:sz w:val="24"/>
        </w:rPr>
      </w:r>
    </w:p>
    <w:p>
      <w:pPr>
        <w:pStyle w:val="0"/>
        <w:ind w:firstLine="540"/>
        <w:jc w:val="both"/>
      </w:pPr>
      <w:r>
        <w:rPr>
          <w:sz w:val="24"/>
        </w:rPr>
        <w:t xml:space="preserve">Величины для заполнения </w:t>
      </w:r>
      <w:hyperlink w:history="0" w:anchor="P382" w:tooltip="Радионуклиды">
        <w:r>
          <w:rPr>
            <w:sz w:val="24"/>
            <w:color w:val="0000ff"/>
          </w:rPr>
          <w:t xml:space="preserve">таблицы</w:t>
        </w:r>
      </w:hyperlink>
      <w:r>
        <w:rPr>
          <w:sz w:val="24"/>
        </w:rPr>
        <w:t xml:space="preserve"> пункта 2.4 определяют на основе анализа выполненных за год измерений, проводимых организацией в рамках производственного радиационного контроля &lt;29&gt; и (или) полученных ЛРК &lt;30&gt;.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&lt;29&gt; </w:t>
      </w:r>
      <w:hyperlink w:history="0" r:id="rId43" w:tooltip="Постановление Главного государственного санитарного врача РФ от 26.04.2010 N 40 (ред. от 16.09.2013) &quot;Об утверждении СП 2.6.1.2612-10 &quot;Основные санитарные правила обеспечения радиационной безопасности (ОСПОРБ-99/2010)&quot; (вместе с &quot;СП 2.6.1.2612-10. ОСПОРБ-99/2010. Санитарные правила и нормативы...&quot;) (Зарегистрировано в Минюсте России 11.08.2010 N 18115) {КонсультантПлюс}">
        <w:r>
          <w:rPr>
            <w:sz w:val="24"/>
            <w:color w:val="0000ff"/>
          </w:rPr>
          <w:t xml:space="preserve">Пункт 2.4.1</w:t>
        </w:r>
      </w:hyperlink>
      <w:r>
        <w:rPr>
          <w:sz w:val="24"/>
        </w:rPr>
        <w:t xml:space="preserve">. ОСПОРБ-99/2010.</w:t>
      </w:r>
    </w:p>
    <w:p>
      <w:pPr>
        <w:pStyle w:val="0"/>
        <w:spacing w:before="240" w:lineRule="auto"/>
        <w:ind w:firstLine="540"/>
        <w:jc w:val="both"/>
      </w:pPr>
      <w:r>
        <w:rPr>
          <w:sz w:val="24"/>
        </w:rPr>
        <w:t xml:space="preserve">&lt;30&gt; Федеральный </w:t>
      </w:r>
      <w:hyperlink w:history="0" r:id="rId44" w:tooltip="Федеральный закон от 28.12.2013 N 412-ФЗ (ред. от 31.07.2025) &quot;Об аккредитации в национальной системе аккредитации&quot; {КонсультантПлюс}">
        <w:r>
          <w:rPr>
            <w:sz w:val="24"/>
            <w:color w:val="0000ff"/>
          </w:rPr>
          <w:t xml:space="preserve">закон</w:t>
        </w:r>
      </w:hyperlink>
      <w:r>
        <w:rPr>
          <w:sz w:val="24"/>
        </w:rPr>
        <w:t xml:space="preserve"> от 28.12.2013 N 412-ФЗ.</w:t>
      </w:r>
    </w:p>
    <w:p>
      <w:pPr>
        <w:pStyle w:val="0"/>
        <w:jc w:val="both"/>
      </w:pPr>
      <w:r>
        <w:rPr>
          <w:sz w:val="24"/>
        </w:rPr>
      </w:r>
    </w:p>
    <w:p>
      <w:pPr>
        <w:pStyle w:val="0"/>
        <w:ind w:firstLine="540"/>
        <w:jc w:val="both"/>
      </w:pPr>
      <w:r>
        <w:rPr>
          <w:sz w:val="24"/>
        </w:rPr>
        <w:t xml:space="preserve">10. В столбцы </w:t>
      </w:r>
      <w:hyperlink w:history="0" w:anchor="P468" w:tooltip="Радионуклиды">
        <w:r>
          <w:rPr>
            <w:sz w:val="24"/>
            <w:color w:val="0000ff"/>
          </w:rPr>
          <w:t xml:space="preserve">таблицы</w:t>
        </w:r>
      </w:hyperlink>
      <w:r>
        <w:rPr>
          <w:sz w:val="24"/>
        </w:rPr>
        <w:t xml:space="preserve"> пункта 2.5 РГПО для всех радионуклидов, по которым имеются данные измерений, заносят:</w:t>
      </w:r>
    </w:p>
    <w:p>
      <w:pPr>
        <w:pStyle w:val="0"/>
        <w:spacing w:before="240" w:lineRule="auto"/>
        <w:ind w:firstLine="540"/>
        <w:jc w:val="both"/>
      </w:pPr>
      <w:r>
        <w:rPr>
          <w:sz w:val="24"/>
        </w:rPr>
        <w:t xml:space="preserve">число исследованных проб, среднее и максимальное значения результатов измерений объемной активности техногенных радионуклидов в атмосферном воздухе ЗН, как в абсолютных единицах (мБк/м</w:t>
      </w:r>
      <w:r>
        <w:rPr>
          <w:sz w:val="24"/>
          <w:vertAlign w:val="superscript"/>
        </w:rPr>
        <w:t xml:space="preserve">3</w:t>
      </w:r>
      <w:r>
        <w:rPr>
          <w:sz w:val="24"/>
        </w:rPr>
        <w:t xml:space="preserve">), так и в виде отношений их к ДОА</w:t>
      </w:r>
      <w:r>
        <w:rPr>
          <w:sz w:val="24"/>
          <w:vertAlign w:val="subscript"/>
        </w:rPr>
        <w:t xml:space="preserve">нас</w:t>
      </w:r>
      <w:r>
        <w:rPr>
          <w:sz w:val="24"/>
        </w:rPr>
        <w:t xml:space="preserve"> соответствующих радионуклидов, число измеренных проб, среднее и максимальное значение СБА атмосферного воздуха в ЗН (мБк/м</w:t>
      </w:r>
      <w:r>
        <w:rPr>
          <w:sz w:val="24"/>
          <w:vertAlign w:val="superscript"/>
        </w:rPr>
        <w:t xml:space="preserve">3</w:t>
      </w:r>
      <w:r>
        <w:rPr>
          <w:sz w:val="24"/>
        </w:rPr>
        <w:t xml:space="preserve">);</w:t>
      </w:r>
    </w:p>
    <w:p>
      <w:pPr>
        <w:pStyle w:val="0"/>
        <w:spacing w:before="240" w:lineRule="auto"/>
        <w:ind w:firstLine="540"/>
        <w:jc w:val="both"/>
      </w:pPr>
      <w:r>
        <w:rPr>
          <w:sz w:val="24"/>
        </w:rPr>
        <w:t xml:space="preserve">число исследованных проб, среднее и максимальное значения результатов измерений удельной активности радионуклидов в воде расположенных в ЗН открытых водоемов, как в абсолютных единицах (Бк/кг), так и в виде отношения их к значениям УВ для соответствующих радионуклидов. Туда же заносятся число исследованных проб, среднее и максимальное значение САА и СБА проб воды из открытых водоемов ЗН (Бк/кг).</w:t>
      </w:r>
    </w:p>
    <w:p>
      <w:pPr>
        <w:pStyle w:val="0"/>
        <w:spacing w:before="240" w:lineRule="auto"/>
        <w:ind w:firstLine="540"/>
        <w:jc w:val="both"/>
      </w:pPr>
      <w:r>
        <w:rPr>
          <w:sz w:val="24"/>
        </w:rPr>
        <w:t xml:space="preserve">Величины, необходимые для заполнения указанной </w:t>
      </w:r>
      <w:hyperlink w:history="0" w:anchor="P468" w:tooltip="Радионуклиды">
        <w:r>
          <w:rPr>
            <w:sz w:val="24"/>
            <w:color w:val="0000ff"/>
          </w:rPr>
          <w:t xml:space="preserve">таблицы</w:t>
        </w:r>
      </w:hyperlink>
      <w:r>
        <w:rPr>
          <w:sz w:val="24"/>
        </w:rPr>
        <w:t xml:space="preserve">, определяются на основе анализа выполненных за год измерений, проводимых организацией в рамках производственного радиационного контроля &lt;31&gt; и (или) полученных ЛРК &lt;32&gt;.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&lt;31&gt; </w:t>
      </w:r>
      <w:hyperlink w:history="0" r:id="rId45" w:tooltip="Постановление Главного государственного санитарного врача РФ от 26.04.2010 N 40 (ред. от 16.09.2013) &quot;Об утверждении СП 2.6.1.2612-10 &quot;Основные санитарные правила обеспечения радиационной безопасности (ОСПОРБ-99/2010)&quot; (вместе с &quot;СП 2.6.1.2612-10. ОСПОРБ-99/2010. Санитарные правила и нормативы...&quot;) (Зарегистрировано в Минюсте России 11.08.2010 N 18115) {КонсультантПлюс}">
        <w:r>
          <w:rPr>
            <w:sz w:val="24"/>
            <w:color w:val="0000ff"/>
          </w:rPr>
          <w:t xml:space="preserve">Пункт 2.4.1</w:t>
        </w:r>
      </w:hyperlink>
      <w:r>
        <w:rPr>
          <w:sz w:val="24"/>
        </w:rPr>
        <w:t xml:space="preserve">. ОСПОРБ-99/2010.</w:t>
      </w:r>
    </w:p>
    <w:p>
      <w:pPr>
        <w:pStyle w:val="0"/>
        <w:spacing w:before="240" w:lineRule="auto"/>
        <w:ind w:firstLine="540"/>
        <w:jc w:val="both"/>
      </w:pPr>
      <w:r>
        <w:rPr>
          <w:sz w:val="24"/>
        </w:rPr>
        <w:t xml:space="preserve">&lt;32&gt; Федеральный </w:t>
      </w:r>
      <w:hyperlink w:history="0" r:id="rId46" w:tooltip="Федеральный закон от 28.12.2013 N 412-ФЗ (ред. от 31.07.2025) &quot;Об аккредитации в национальной системе аккредитации&quot; {КонсультантПлюс}">
        <w:r>
          <w:rPr>
            <w:sz w:val="24"/>
            <w:color w:val="0000ff"/>
          </w:rPr>
          <w:t xml:space="preserve">закон</w:t>
        </w:r>
      </w:hyperlink>
      <w:r>
        <w:rPr>
          <w:sz w:val="24"/>
        </w:rPr>
        <w:t xml:space="preserve"> от 28.12.2013 N 412-ФЗ.</w:t>
      </w:r>
    </w:p>
    <w:p>
      <w:pPr>
        <w:pStyle w:val="0"/>
        <w:jc w:val="both"/>
      </w:pPr>
      <w:r>
        <w:rPr>
          <w:sz w:val="24"/>
        </w:rPr>
      </w:r>
    </w:p>
    <w:p>
      <w:pPr>
        <w:pStyle w:val="0"/>
        <w:ind w:firstLine="540"/>
        <w:jc w:val="both"/>
      </w:pPr>
      <w:r>
        <w:rPr>
          <w:sz w:val="24"/>
        </w:rPr>
        <w:t xml:space="preserve">11. В столбцы </w:t>
      </w:r>
      <w:hyperlink w:history="0" w:anchor="P554" w:tooltip="Пищевые продукты">
        <w:r>
          <w:rPr>
            <w:sz w:val="24"/>
            <w:color w:val="0000ff"/>
          </w:rPr>
          <w:t xml:space="preserve">таблицы</w:t>
        </w:r>
      </w:hyperlink>
      <w:r>
        <w:rPr>
          <w:sz w:val="24"/>
        </w:rPr>
        <w:t xml:space="preserve"> пункта 2.6 РГПО заносят данные о содержании радионуклидов </w:t>
      </w:r>
      <w:r>
        <w:rPr>
          <w:sz w:val="24"/>
          <w:vertAlign w:val="superscript"/>
        </w:rPr>
        <w:t xml:space="preserve">137</w:t>
      </w:r>
      <w:r>
        <w:rPr>
          <w:sz w:val="24"/>
        </w:rPr>
        <w:t xml:space="preserve">Cs и </w:t>
      </w:r>
      <w:r>
        <w:rPr>
          <w:sz w:val="24"/>
          <w:vertAlign w:val="superscript"/>
        </w:rPr>
        <w:t xml:space="preserve">90</w:t>
      </w:r>
      <w:r>
        <w:rPr>
          <w:sz w:val="24"/>
        </w:rPr>
        <w:t xml:space="preserve">Sr в пищевых продуктах, производимых в ЗН. В соответствующие столбцы </w:t>
      </w:r>
      <w:hyperlink w:history="0" w:anchor="P554" w:tooltip="Пищевые продукты">
        <w:r>
          <w:rPr>
            <w:sz w:val="24"/>
            <w:color w:val="0000ff"/>
          </w:rPr>
          <w:t xml:space="preserve">таблицы</w:t>
        </w:r>
      </w:hyperlink>
      <w:r>
        <w:rPr>
          <w:sz w:val="24"/>
        </w:rPr>
        <w:t xml:space="preserve"> для каждого из основных пищевых продуктов, производимых в ЗН организации, заносят:</w:t>
      </w:r>
    </w:p>
    <w:p>
      <w:pPr>
        <w:pStyle w:val="0"/>
        <w:spacing w:before="240" w:lineRule="auto"/>
        <w:ind w:firstLine="540"/>
        <w:jc w:val="both"/>
      </w:pPr>
      <w:r>
        <w:rPr>
          <w:sz w:val="24"/>
        </w:rPr>
        <w:t xml:space="preserve">- число исследованных за отчетный год проб;</w:t>
      </w:r>
    </w:p>
    <w:p>
      <w:pPr>
        <w:pStyle w:val="0"/>
        <w:spacing w:before="240" w:lineRule="auto"/>
        <w:ind w:firstLine="540"/>
        <w:jc w:val="both"/>
      </w:pPr>
      <w:r>
        <w:rPr>
          <w:sz w:val="24"/>
        </w:rPr>
        <w:t xml:space="preserve">- число проб, удельная активность которых выше гигиенических нормативов для данного продукта &lt;33&gt;;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&lt;33&gt; </w:t>
      </w:r>
      <w:hyperlink w:history="0" r:id="rId47" w:tooltip="Решение Комиссии Таможенного союза от 09.12.2011 N 880 (ред. от 22.04.2024) &quot;О принятии технического регламента Таможенного союза &quot;О безопасности пищевой продукции&quot; (вместе с &quot;ТР ТС 021/2011. Технический регламент Таможенного союза. О безопасности пищевой продукции&quot;) {КонсультантПлюс}">
        <w:r>
          <w:rPr>
            <w:sz w:val="24"/>
            <w:color w:val="0000ff"/>
          </w:rPr>
          <w:t xml:space="preserve">Приложение 4</w:t>
        </w:r>
      </w:hyperlink>
      <w:r>
        <w:rPr>
          <w:sz w:val="24"/>
        </w:rPr>
        <w:t xml:space="preserve"> к техническому регламенту Таможенного союза от 09.12.2011 N 880 "О безопасности пищевой продукции", утвержденному решением Комиссии Таможенного союза (далее - ТР ТС 021/2011).</w:t>
      </w:r>
    </w:p>
    <w:p>
      <w:pPr>
        <w:pStyle w:val="0"/>
        <w:jc w:val="both"/>
      </w:pPr>
      <w:r>
        <w:rPr>
          <w:sz w:val="24"/>
        </w:rPr>
      </w:r>
    </w:p>
    <w:p>
      <w:pPr>
        <w:pStyle w:val="0"/>
        <w:ind w:firstLine="540"/>
        <w:jc w:val="both"/>
      </w:pPr>
      <w:r>
        <w:rPr>
          <w:sz w:val="24"/>
        </w:rPr>
        <w:t xml:space="preserve">- среднее и максимальное значения удельной активности радионуклидов (Бк/кг), полученные на основе анализа результатов соответствующих измерений за год.</w:t>
      </w:r>
    </w:p>
    <w:p>
      <w:pPr>
        <w:pStyle w:val="0"/>
        <w:spacing w:before="240" w:lineRule="auto"/>
        <w:ind w:firstLine="540"/>
        <w:jc w:val="both"/>
      </w:pPr>
      <w:r>
        <w:rPr>
          <w:sz w:val="24"/>
        </w:rPr>
        <w:t xml:space="preserve">При заполнении этого пункта паспорта используют результаты измерений, полученные на измерительных установках, у которых минимально измеримая активность для </w:t>
      </w:r>
      <w:r>
        <w:rPr>
          <w:sz w:val="24"/>
          <w:vertAlign w:val="superscript"/>
        </w:rPr>
        <w:t xml:space="preserve">137</w:t>
      </w:r>
      <w:r>
        <w:rPr>
          <w:sz w:val="24"/>
        </w:rPr>
        <w:t xml:space="preserve">Cs не превышает 1 Бк/кг, а для </w:t>
      </w:r>
      <w:r>
        <w:rPr>
          <w:sz w:val="24"/>
          <w:vertAlign w:val="superscript"/>
        </w:rPr>
        <w:t xml:space="preserve">90</w:t>
      </w:r>
      <w:r>
        <w:rPr>
          <w:sz w:val="24"/>
        </w:rPr>
        <w:t xml:space="preserve">Sr - 0,2 Бк/кг. Этому условию для </w:t>
      </w:r>
      <w:r>
        <w:rPr>
          <w:sz w:val="24"/>
          <w:vertAlign w:val="superscript"/>
        </w:rPr>
        <w:t xml:space="preserve">90</w:t>
      </w:r>
      <w:r>
        <w:rPr>
          <w:sz w:val="24"/>
        </w:rPr>
        <w:t xml:space="preserve">Sr отвечают лишь результаты радиохимических исследований. Если в радиоактивных выбросах и сбросах организации отсутствует </w:t>
      </w:r>
      <w:r>
        <w:rPr>
          <w:sz w:val="24"/>
          <w:vertAlign w:val="superscript"/>
        </w:rPr>
        <w:t xml:space="preserve">90</w:t>
      </w:r>
      <w:r>
        <w:rPr>
          <w:sz w:val="24"/>
        </w:rPr>
        <w:t xml:space="preserve">Sr (не установлены для него величины ПДВ и ПДС), </w:t>
      </w:r>
      <w:hyperlink w:history="0" w:anchor="P554" w:tooltip="Пищевые продукты">
        <w:r>
          <w:rPr>
            <w:sz w:val="24"/>
            <w:color w:val="0000ff"/>
          </w:rPr>
          <w:t xml:space="preserve">таблица 2.6</w:t>
        </w:r>
      </w:hyperlink>
      <w:r>
        <w:rPr>
          <w:sz w:val="24"/>
        </w:rPr>
        <w:t xml:space="preserve"> для этого радионуклида не заполняется.</w:t>
      </w:r>
    </w:p>
    <w:p>
      <w:pPr>
        <w:pStyle w:val="0"/>
        <w:spacing w:before="240" w:lineRule="auto"/>
        <w:ind w:firstLine="540"/>
        <w:jc w:val="both"/>
      </w:pPr>
      <w:r>
        <w:rPr>
          <w:sz w:val="24"/>
        </w:rPr>
        <w:t xml:space="preserve">В </w:t>
      </w:r>
      <w:hyperlink w:history="0" w:anchor="P554" w:tooltip="Пищевые продукты">
        <w:r>
          <w:rPr>
            <w:sz w:val="24"/>
            <w:color w:val="0000ff"/>
          </w:rPr>
          <w:t xml:space="preserve">таблицу</w:t>
        </w:r>
      </w:hyperlink>
      <w:r>
        <w:rPr>
          <w:sz w:val="24"/>
        </w:rPr>
        <w:t xml:space="preserve"> заносят данные для пищевых продуктов из числа перечисленных в ней, которые производят в ЗН организации. Если в ЗН организации не производят пищевые продукты, </w:t>
      </w:r>
      <w:hyperlink w:history="0" w:anchor="P554" w:tooltip="Пищевые продукты">
        <w:r>
          <w:rPr>
            <w:sz w:val="24"/>
            <w:color w:val="0000ff"/>
          </w:rPr>
          <w:t xml:space="preserve">таблица</w:t>
        </w:r>
      </w:hyperlink>
      <w:r>
        <w:rPr>
          <w:sz w:val="24"/>
        </w:rPr>
        <w:t xml:space="preserve"> не заполняется.</w:t>
      </w:r>
    </w:p>
    <w:p>
      <w:pPr>
        <w:pStyle w:val="0"/>
        <w:spacing w:before="240" w:lineRule="auto"/>
        <w:ind w:firstLine="540"/>
        <w:jc w:val="both"/>
      </w:pPr>
      <w:r>
        <w:rPr>
          <w:sz w:val="24"/>
        </w:rPr>
        <w:t xml:space="preserve">12. В </w:t>
      </w:r>
      <w:hyperlink w:history="0" w:anchor="P633" w:tooltip="3. Дозы облучения граждан за счет деятельности организации (предприятия)">
        <w:r>
          <w:rPr>
            <w:sz w:val="24"/>
            <w:color w:val="0000ff"/>
          </w:rPr>
          <w:t xml:space="preserve">разделе 3</w:t>
        </w:r>
      </w:hyperlink>
      <w:r>
        <w:rPr>
          <w:sz w:val="24"/>
        </w:rPr>
        <w:t xml:space="preserve"> РГПО приводят величины, характеризующие облучение персонала организации, населения, проживающего в ее ЗН, и пациентов, проходящих рентгенорадиологические диагностические процедуры.</w:t>
      </w:r>
    </w:p>
    <w:p>
      <w:pPr>
        <w:pStyle w:val="0"/>
        <w:spacing w:before="240" w:lineRule="auto"/>
        <w:ind w:firstLine="540"/>
        <w:jc w:val="both"/>
      </w:pPr>
      <w:r>
        <w:rPr>
          <w:sz w:val="24"/>
        </w:rPr>
        <w:t xml:space="preserve">13. В </w:t>
      </w:r>
      <w:hyperlink w:history="0" w:anchor="P637" w:tooltip="Группа персонала">
        <w:r>
          <w:rPr>
            <w:sz w:val="24"/>
            <w:color w:val="0000ff"/>
          </w:rPr>
          <w:t xml:space="preserve">таблицу</w:t>
        </w:r>
      </w:hyperlink>
      <w:r>
        <w:rPr>
          <w:sz w:val="24"/>
        </w:rPr>
        <w:t xml:space="preserve"> пункта 3.1 РГПО заносят:</w:t>
      </w:r>
    </w:p>
    <w:p>
      <w:pPr>
        <w:pStyle w:val="0"/>
        <w:spacing w:before="240" w:lineRule="auto"/>
        <w:ind w:firstLine="540"/>
        <w:jc w:val="both"/>
      </w:pPr>
      <w:r>
        <w:rPr>
          <w:sz w:val="24"/>
        </w:rPr>
        <w:t xml:space="preserve">- численность персонала групп А и Б &lt;34&gt; и численность всего персонала организации;</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&lt;34&gt; </w:t>
      </w:r>
      <w:hyperlink w:history="0" r:id="rId48" w:tooltip="Постановление Главного государственного санитарного врача РФ от 07.07.2009 N 47 &quot;Об утверждении СанПиН 2.6.1.2523-09&quot; (вместе с &quot;НРБ-99/2009. СанПиН 2.6.1.2523-09. Нормы радиационной безопасности. Санитарные правила и нормативы&quot;) (Зарегистрировано в Минюсте РФ 14.08.2009 N 14534) {КонсультантПлюс}">
        <w:r>
          <w:rPr>
            <w:sz w:val="24"/>
            <w:color w:val="0000ff"/>
          </w:rPr>
          <w:t xml:space="preserve">Пункт 48</w:t>
        </w:r>
      </w:hyperlink>
      <w:r>
        <w:rPr>
          <w:sz w:val="24"/>
        </w:rPr>
        <w:t xml:space="preserve"> приложения 7 к НРБ-99/2009.</w:t>
      </w:r>
    </w:p>
    <w:p>
      <w:pPr>
        <w:pStyle w:val="0"/>
        <w:jc w:val="both"/>
      </w:pPr>
      <w:r>
        <w:rPr>
          <w:sz w:val="24"/>
        </w:rPr>
      </w:r>
    </w:p>
    <w:p>
      <w:pPr>
        <w:pStyle w:val="0"/>
        <w:ind w:firstLine="540"/>
        <w:jc w:val="both"/>
      </w:pPr>
      <w:r>
        <w:rPr>
          <w:sz w:val="24"/>
        </w:rPr>
        <w:t xml:space="preserve">- численность персонала групп А и Б, имевшего в отчетном году индивидуальную годовую эффективную дозу облучения в указанных диапазонах: 0 - 1, 1 - 2, 2 - 5, 5 - 12,5, 12,5 - 20, 20 - 50 и &gt; 50 мЗв/год;</w:t>
      </w:r>
    </w:p>
    <w:p>
      <w:pPr>
        <w:pStyle w:val="0"/>
        <w:spacing w:before="240" w:lineRule="auto"/>
        <w:ind w:firstLine="540"/>
        <w:jc w:val="both"/>
      </w:pPr>
      <w:r>
        <w:rPr>
          <w:sz w:val="24"/>
        </w:rPr>
        <w:t xml:space="preserve">- средние индивидуальные и коллективные годовые эффективные дозы облучения персонала групп А и Б.</w:t>
      </w:r>
    </w:p>
    <w:p>
      <w:pPr>
        <w:pStyle w:val="0"/>
        <w:spacing w:before="240" w:lineRule="auto"/>
        <w:ind w:firstLine="540"/>
        <w:jc w:val="both"/>
      </w:pPr>
      <w:r>
        <w:rPr>
          <w:sz w:val="24"/>
        </w:rPr>
        <w:t xml:space="preserve">При заполнении этого </w:t>
      </w:r>
      <w:hyperlink w:history="0" w:anchor="P633" w:tooltip="3. Дозы облучения граждан за счет деятельности организации (предприятия)">
        <w:r>
          <w:rPr>
            <w:sz w:val="24"/>
            <w:color w:val="0000ff"/>
          </w:rPr>
          <w:t xml:space="preserve">раздела</w:t>
        </w:r>
      </w:hyperlink>
      <w:r>
        <w:rPr>
          <w:sz w:val="24"/>
        </w:rPr>
        <w:t xml:space="preserve"> паспорта используют результаты проводимого в организации индивидуального дозиметрического контроля персонала группы А и оценки средне групповых годовых эффективных доз персонала группы Б, проводимой с использованием результатов радиационного контроля на рабочих местах персонала &lt;35&gt;, которые содержатся в </w:t>
      </w:r>
      <w:hyperlink w:history="0" r:id="rId49" w:tooltip="Приказ Росстата от 16.10.2013 N 411 (ред. от 30.11.2022) &quot;Об утверждении статистического инструментария для организации Федеральной службой по надзору в сфере защиты прав потребителей и благополучия человека федерального статистического наблюдения за санитарным состоянием территорий, профессиональными заболеваниями (отравлениями), дозами облучения&quot; {КонсультантПлюс}">
        <w:r>
          <w:rPr>
            <w:sz w:val="24"/>
            <w:color w:val="0000ff"/>
          </w:rPr>
          <w:t xml:space="preserve">форме 1-ДОЗ</w:t>
        </w:r>
      </w:hyperlink>
      <w:r>
        <w:rPr>
          <w:sz w:val="24"/>
        </w:rPr>
        <w:t xml:space="preserve"> организации.</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&lt;35&gt; </w:t>
      </w:r>
      <w:hyperlink w:history="0" r:id="rId50" w:tooltip="Постановление Главного государственного санитарного врача РФ от 26.04.2010 N 40 (ред. от 16.09.2013) &quot;Об утверждении СП 2.6.1.2612-10 &quot;Основные санитарные правила обеспечения радиационной безопасности (ОСПОРБ-99/2010)&quot; (вместе с &quot;СП 2.6.1.2612-10. ОСПОРБ-99/2010. Санитарные правила и нормативы...&quot;) (Зарегистрировано в Минюсте России 11.08.2010 N 18115) {КонсультантПлюс}">
        <w:r>
          <w:rPr>
            <w:sz w:val="24"/>
            <w:color w:val="0000ff"/>
          </w:rPr>
          <w:t xml:space="preserve">Пункт 2.4.1</w:t>
        </w:r>
      </w:hyperlink>
      <w:r>
        <w:rPr>
          <w:sz w:val="24"/>
        </w:rPr>
        <w:t xml:space="preserve"> ОСПОРБ-99/2010.</w:t>
      </w:r>
    </w:p>
    <w:p>
      <w:pPr>
        <w:pStyle w:val="0"/>
        <w:jc w:val="both"/>
      </w:pPr>
      <w:r>
        <w:rPr>
          <w:sz w:val="24"/>
        </w:rPr>
      </w:r>
    </w:p>
    <w:p>
      <w:pPr>
        <w:pStyle w:val="0"/>
        <w:ind w:firstLine="540"/>
        <w:jc w:val="both"/>
      </w:pPr>
      <w:r>
        <w:rPr>
          <w:sz w:val="24"/>
        </w:rPr>
        <w:t xml:space="preserve">Программа ФФ-12, используемая для заполнения </w:t>
      </w:r>
      <w:hyperlink w:history="0" r:id="rId51" w:tooltip="Приказ Росстата от 16.10.2013 N 411 (ред. от 30.11.2022) &quot;Об утверждении статистического инструментария для организации Федеральной службой по надзору в сфере защиты прав потребителей и благополучия человека федерального статистического наблюдения за санитарным состоянием территорий, профессиональными заболеваниями (отравлениями), дозами облучения&quot; {КонсультантПлюс}">
        <w:r>
          <w:rPr>
            <w:sz w:val="24"/>
            <w:color w:val="0000ff"/>
          </w:rPr>
          <w:t xml:space="preserve">формы 1-ДОЗ</w:t>
        </w:r>
      </w:hyperlink>
      <w:r>
        <w:rPr>
          <w:sz w:val="24"/>
        </w:rPr>
        <w:t xml:space="preserve">, автоматически формирует данную </w:t>
      </w:r>
      <w:hyperlink w:history="0" w:anchor="P637" w:tooltip="Группа персонала">
        <w:r>
          <w:rPr>
            <w:sz w:val="24"/>
            <w:color w:val="0000ff"/>
          </w:rPr>
          <w:t xml:space="preserve">таблицу</w:t>
        </w:r>
      </w:hyperlink>
      <w:r>
        <w:rPr>
          <w:sz w:val="24"/>
        </w:rPr>
        <w:t xml:space="preserve">, для заполнения РГПО.</w:t>
      </w:r>
    </w:p>
    <w:p>
      <w:pPr>
        <w:pStyle w:val="0"/>
        <w:spacing w:before="240" w:lineRule="auto"/>
        <w:ind w:firstLine="540"/>
        <w:jc w:val="both"/>
      </w:pPr>
      <w:r>
        <w:rPr>
          <w:sz w:val="24"/>
        </w:rPr>
        <w:t xml:space="preserve">14. </w:t>
      </w:r>
      <w:hyperlink w:history="0" w:anchor="P687" w:tooltip="3.2. Годовые эффективные дозы облучения населения, проживающего в зоне наблюдения за счет деятельности организации (предприятия)">
        <w:r>
          <w:rPr>
            <w:sz w:val="24"/>
            <w:color w:val="0000ff"/>
          </w:rPr>
          <w:t xml:space="preserve">Пункт 3.2</w:t>
        </w:r>
      </w:hyperlink>
      <w:r>
        <w:rPr>
          <w:sz w:val="24"/>
        </w:rPr>
        <w:t xml:space="preserve"> РГПО заполняют организации, для которых установлена ЗН.</w:t>
      </w:r>
    </w:p>
    <w:p>
      <w:pPr>
        <w:pStyle w:val="0"/>
        <w:spacing w:before="240" w:lineRule="auto"/>
        <w:ind w:firstLine="540"/>
        <w:jc w:val="both"/>
      </w:pPr>
      <w:r>
        <w:rPr>
          <w:sz w:val="24"/>
        </w:rPr>
        <w:t xml:space="preserve">В </w:t>
      </w:r>
      <w:hyperlink w:history="0" w:anchor="P689" w:tooltip="Численность населения зоны наблюдения">
        <w:r>
          <w:rPr>
            <w:sz w:val="24"/>
            <w:color w:val="0000ff"/>
          </w:rPr>
          <w:t xml:space="preserve">таблицу</w:t>
        </w:r>
      </w:hyperlink>
      <w:r>
        <w:rPr>
          <w:sz w:val="24"/>
        </w:rPr>
        <w:t xml:space="preserve"> пункта 3.2 РГПО заносят:</w:t>
      </w:r>
    </w:p>
    <w:p>
      <w:pPr>
        <w:pStyle w:val="0"/>
        <w:spacing w:before="240" w:lineRule="auto"/>
        <w:ind w:firstLine="540"/>
        <w:jc w:val="both"/>
      </w:pPr>
      <w:r>
        <w:rPr>
          <w:sz w:val="24"/>
        </w:rPr>
        <w:t xml:space="preserve">численность населения (чел.), проживающего в ЗН организации (по данным администрации субъекта Российской Федерации);</w:t>
      </w:r>
    </w:p>
    <w:p>
      <w:pPr>
        <w:pStyle w:val="0"/>
        <w:spacing w:before="240" w:lineRule="auto"/>
        <w:ind w:firstLine="540"/>
        <w:jc w:val="both"/>
      </w:pPr>
      <w:r>
        <w:rPr>
          <w:sz w:val="24"/>
        </w:rPr>
        <w:t xml:space="preserve">оцененное значение средней индивидуальной годовой эффективной дозы дополнительного облучения населения, постоянно проживающего в ЗН организации, за счет ее текущей деятельности в отчетном году (мЗв/год);</w:t>
      </w:r>
    </w:p>
    <w:p>
      <w:pPr>
        <w:pStyle w:val="0"/>
        <w:spacing w:before="240" w:lineRule="auto"/>
        <w:ind w:firstLine="540"/>
        <w:jc w:val="both"/>
      </w:pPr>
      <w:r>
        <w:rPr>
          <w:sz w:val="24"/>
        </w:rPr>
        <w:t xml:space="preserve">оцененное значение коллективной годовой эффективной дозы дополнительного облучения населения, постоянно проживающего в ЗН организации, за счет ее текущей деятельности в отчетном году (чел.-Зв/год);</w:t>
      </w:r>
    </w:p>
    <w:p>
      <w:pPr>
        <w:pStyle w:val="0"/>
        <w:spacing w:before="240" w:lineRule="auto"/>
        <w:ind w:firstLine="540"/>
        <w:jc w:val="both"/>
      </w:pPr>
      <w:r>
        <w:rPr>
          <w:sz w:val="24"/>
        </w:rPr>
        <w:t xml:space="preserve">численность населения (чел.), постоянно проживающего в ЗН организации, для которого в отчетном году годовая индивидуальная доза облучения за счет деятельности организации превысила 1 мЗв;</w:t>
      </w:r>
    </w:p>
    <w:p>
      <w:pPr>
        <w:pStyle w:val="0"/>
        <w:spacing w:before="240" w:lineRule="auto"/>
        <w:ind w:firstLine="540"/>
        <w:jc w:val="both"/>
      </w:pPr>
      <w:r>
        <w:rPr>
          <w:sz w:val="24"/>
        </w:rPr>
        <w:t xml:space="preserve">численность населения (чел.), постоянно проживающего в ЗН организации, для которого в отчетном году годовая индивидуальная доза за счет деятельности организации превысила установленный для данной организации допустимый уровень воздействия (квоту); в скобках дополнительно приводят величину установленного для организации допустимого уровня воздействия (квоты) &lt;36&gt;.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&lt;36&gt; </w:t>
      </w:r>
      <w:hyperlink w:history="0" r:id="rId52" w:tooltip="Постановление Главного государственного санитарного врача РФ от 26.04.2010 N 40 (ред. от 16.09.2013) &quot;Об утверждении СП 2.6.1.2612-10 &quot;Основные санитарные правила обеспечения радиационной безопасности (ОСПОРБ-99/2010)&quot; (вместе с &quot;СП 2.6.1.2612-10. ОСПОРБ-99/2010. Санитарные правила и нормативы...&quot;) (Зарегистрировано в Минюсте России 11.08.2010 N 18115) {КонсультантПлюс}">
        <w:r>
          <w:rPr>
            <w:sz w:val="24"/>
            <w:color w:val="0000ff"/>
          </w:rPr>
          <w:t xml:space="preserve">Пункт 3.2.10</w:t>
        </w:r>
      </w:hyperlink>
      <w:r>
        <w:rPr>
          <w:sz w:val="24"/>
        </w:rPr>
        <w:t xml:space="preserve"> ОСПОРБ-99/2010.</w:t>
      </w:r>
    </w:p>
    <w:p>
      <w:pPr>
        <w:pStyle w:val="0"/>
        <w:jc w:val="both"/>
      </w:pPr>
      <w:r>
        <w:rPr>
          <w:sz w:val="24"/>
        </w:rPr>
      </w:r>
    </w:p>
    <w:p>
      <w:pPr>
        <w:pStyle w:val="0"/>
        <w:ind w:firstLine="540"/>
        <w:jc w:val="both"/>
      </w:pPr>
      <w:r>
        <w:rPr>
          <w:sz w:val="24"/>
        </w:rPr>
        <w:t xml:space="preserve">Значения средней индивидуальной и коллективной годовых эффективных доз дополнительного облучения населения, постоянно проживающего в ЗН организации, определяют по результатам мониторинга содержания радионуклидов в объектах окружающей среды и мощности эффективной дозы в ЗН и (или) с помощью расчетных моделей. Расчетные модели применяют для оценки доз облучения населения за счет деятельности организации при недостатке данных мониторинга окружающей среды и (или) при уровнях радиоактивного загрязнения объектов ЗН ниже чувствительности применяемой аппаратуры. При проведении расчетов по моделям используют данные о газообразных выбросах и жидких сбросах радионуклидов в окружающую среду в процессе деятельности организации в отчетном году.</w:t>
      </w:r>
    </w:p>
    <w:p>
      <w:pPr>
        <w:pStyle w:val="0"/>
        <w:spacing w:before="240" w:lineRule="auto"/>
        <w:ind w:firstLine="540"/>
        <w:jc w:val="both"/>
      </w:pPr>
      <w:r>
        <w:rPr>
          <w:sz w:val="24"/>
        </w:rPr>
        <w:t xml:space="preserve">При оценке дозы облучения населения ЗН за счет деятельности организации в отчетном году &lt;37&gt; не учитывают дозу облучения от естественных и других техногенных источников излучения (например, глобальных выпадений, загрязнения после аварии на Чернобыльской атомной электростанции, деятельности других радиационных объектов).</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&lt;37&gt; </w:t>
      </w:r>
      <w:hyperlink w:history="0" r:id="rId53" w:tooltip="&quot;МР 2.6.1.0063-12. 2.6.1. Ионизирующее излучение, радиационная безопасность. Контроль доз облучения населения, проживающего в зоне наблюдения радиационного объекта, в условиях его нормальной эксплуатации и радиационной аварии. Методические рекомендации&quot; (утв. Главным государственным санитарным врачом РФ 06.06.2012) {КонсультантПлюс}">
        <w:r>
          <w:rPr>
            <w:sz w:val="24"/>
            <w:color w:val="0000ff"/>
          </w:rPr>
          <w:t xml:space="preserve">МР 2.6.1.0063-12</w:t>
        </w:r>
      </w:hyperlink>
      <w:r>
        <w:rPr>
          <w:sz w:val="24"/>
        </w:rPr>
        <w:t xml:space="preserve"> "Контроль доз облучения населения, проживающего в зоне наблюдения радиационного объекта, в условиях его нормальной эксплуатации и радиационной аварии", утвержденные Роспотребнадзором 06.06.2012.</w:t>
      </w:r>
    </w:p>
    <w:p>
      <w:pPr>
        <w:pStyle w:val="0"/>
        <w:jc w:val="both"/>
      </w:pPr>
      <w:r>
        <w:rPr>
          <w:sz w:val="24"/>
        </w:rPr>
      </w:r>
    </w:p>
    <w:p>
      <w:pPr>
        <w:pStyle w:val="0"/>
        <w:ind w:firstLine="540"/>
        <w:jc w:val="both"/>
      </w:pPr>
      <w:r>
        <w:rPr>
          <w:sz w:val="24"/>
        </w:rPr>
        <w:t xml:space="preserve">15. </w:t>
      </w:r>
      <w:hyperlink w:history="0" w:anchor="P709" w:tooltip="Виды процедур">
        <w:r>
          <w:rPr>
            <w:sz w:val="24"/>
            <w:color w:val="0000ff"/>
          </w:rPr>
          <w:t xml:space="preserve">Таблицу</w:t>
        </w:r>
      </w:hyperlink>
      <w:r>
        <w:rPr>
          <w:sz w:val="24"/>
        </w:rPr>
        <w:t xml:space="preserve"> пункта 3.3 РГПО заполняют организации, проводящие диагностические исследования пациентов с использованием техногенных ИИИ. В указанную таблицу заносятся данные о медицинском облучении населения за счет проведенных в организации в отчетном году диагностических рентгенорадиологических медицинских исследований. Данные о терапевтическом облучении в эту </w:t>
      </w:r>
      <w:hyperlink w:history="0" w:anchor="P709" w:tooltip="Виды процедур">
        <w:r>
          <w:rPr>
            <w:sz w:val="24"/>
            <w:color w:val="0000ff"/>
          </w:rPr>
          <w:t xml:space="preserve">таблицу</w:t>
        </w:r>
      </w:hyperlink>
      <w:r>
        <w:rPr>
          <w:sz w:val="24"/>
        </w:rPr>
        <w:t xml:space="preserve"> не заносят.</w:t>
      </w:r>
    </w:p>
    <w:p>
      <w:pPr>
        <w:pStyle w:val="0"/>
        <w:spacing w:before="240" w:lineRule="auto"/>
        <w:ind w:firstLine="540"/>
        <w:jc w:val="both"/>
      </w:pPr>
      <w:r>
        <w:rPr>
          <w:sz w:val="24"/>
        </w:rPr>
        <w:t xml:space="preserve">При заполнении данного </w:t>
      </w:r>
      <w:hyperlink w:history="0" w:anchor="P706" w:tooltip="3.3. Годовые дозы медицинского облучения населения">
        <w:r>
          <w:rPr>
            <w:sz w:val="24"/>
            <w:color w:val="0000ff"/>
          </w:rPr>
          <w:t xml:space="preserve">пункта</w:t>
        </w:r>
      </w:hyperlink>
      <w:r>
        <w:rPr>
          <w:sz w:val="24"/>
        </w:rPr>
        <w:t xml:space="preserve"> используют информацию, представленную в </w:t>
      </w:r>
      <w:hyperlink w:history="0" r:id="rId54" w:tooltip="Приказ Росстата от 30.11.2022 N 880 &quot;Об утверждении формы федерального статистического наблюдения с указаниями по ее заполнению для организации Федеральной службой по надзору в сфере защиты прав потребителей и благополучия человека федерального статистического наблюдения за санитарным состоянием субъекта Российской Федерации&quot; {КонсультантПлюс}">
        <w:r>
          <w:rPr>
            <w:sz w:val="24"/>
            <w:color w:val="0000ff"/>
          </w:rPr>
          <w:t xml:space="preserve">форме 3-ДОЗ</w:t>
        </w:r>
      </w:hyperlink>
      <w:r>
        <w:rPr>
          <w:sz w:val="24"/>
        </w:rPr>
        <w:t xml:space="preserve"> организации.</w:t>
      </w:r>
    </w:p>
    <w:p>
      <w:pPr>
        <w:pStyle w:val="0"/>
        <w:spacing w:before="240" w:lineRule="auto"/>
        <w:ind w:firstLine="540"/>
        <w:jc w:val="both"/>
      </w:pPr>
      <w:r>
        <w:rPr>
          <w:sz w:val="24"/>
        </w:rPr>
        <w:t xml:space="preserve">Для каждого из 7 видов рентгенорадиологических процедур (флюорография, рентгенография, рентгеноскопия, компьютерная томография, специальные исследования, радионуклидные исследования, прочие) в </w:t>
      </w:r>
      <w:hyperlink w:history="0" w:anchor="P709" w:tooltip="Виды процедур">
        <w:r>
          <w:rPr>
            <w:sz w:val="24"/>
            <w:color w:val="0000ff"/>
          </w:rPr>
          <w:t xml:space="preserve">таблицу</w:t>
        </w:r>
      </w:hyperlink>
      <w:r>
        <w:rPr>
          <w:sz w:val="24"/>
        </w:rPr>
        <w:t xml:space="preserve"> заносят число проведенных в организации процедур данного вида за отчетный год (шт.), среднюю индивидуальную эффективную дозу пациентов на одну процедуру данного вида (мЗв на процедуру), годовую коллективную эффективную дозу пациентов от данного вида процедур (чел.-Зв/год) и процент измеренных доз пациентов при проведении данного вида процедур (%).</w:t>
      </w:r>
    </w:p>
    <w:p>
      <w:pPr>
        <w:pStyle w:val="0"/>
        <w:spacing w:before="240" w:lineRule="auto"/>
        <w:ind w:firstLine="540"/>
        <w:jc w:val="both"/>
      </w:pPr>
      <w:r>
        <w:rPr>
          <w:sz w:val="24"/>
        </w:rPr>
        <w:t xml:space="preserve">Программа ФФ-3, используемая для заполнения </w:t>
      </w:r>
      <w:hyperlink w:history="0" r:id="rId55" w:tooltip="Приказ Росстата от 30.11.2022 N 880 &quot;Об утверждении формы федерального статистического наблюдения с указаниями по ее заполнению для организации Федеральной службой по надзору в сфере защиты прав потребителей и благополучия человека федерального статистического наблюдения за санитарным состоянием субъекта Российской Федерации&quot; {КонсультантПлюс}">
        <w:r>
          <w:rPr>
            <w:sz w:val="24"/>
            <w:color w:val="0000ff"/>
          </w:rPr>
          <w:t xml:space="preserve">формы 3-ДОЗ</w:t>
        </w:r>
      </w:hyperlink>
      <w:r>
        <w:rPr>
          <w:sz w:val="24"/>
        </w:rPr>
        <w:t xml:space="preserve">, автоматически формирует </w:t>
      </w:r>
      <w:hyperlink w:history="0" w:anchor="P709" w:tooltip="Виды процедур">
        <w:r>
          <w:rPr>
            <w:sz w:val="24"/>
            <w:color w:val="0000ff"/>
          </w:rPr>
          <w:t xml:space="preserve">таблицу</w:t>
        </w:r>
      </w:hyperlink>
      <w:r>
        <w:rPr>
          <w:sz w:val="24"/>
        </w:rPr>
        <w:t xml:space="preserve"> пункта 3.3 РГПО.</w:t>
      </w:r>
    </w:p>
    <w:p>
      <w:pPr>
        <w:pStyle w:val="0"/>
        <w:spacing w:before="240" w:lineRule="auto"/>
        <w:ind w:firstLine="540"/>
        <w:jc w:val="both"/>
      </w:pPr>
      <w:r>
        <w:rPr>
          <w:sz w:val="24"/>
        </w:rPr>
        <w:t xml:space="preserve">16. В </w:t>
      </w:r>
      <w:hyperlink w:history="0" w:anchor="P755" w:tooltip="4. Оценка эффективности мероприятий по обеспечению радиационной безопасности и выполнению норм, правил и гигиенических нормативов в области радиационной безопасности">
        <w:r>
          <w:rPr>
            <w:sz w:val="24"/>
            <w:color w:val="0000ff"/>
          </w:rPr>
          <w:t xml:space="preserve">пункте 4</w:t>
        </w:r>
      </w:hyperlink>
      <w:r>
        <w:rPr>
          <w:sz w:val="24"/>
        </w:rPr>
        <w:t xml:space="preserve"> РГПО приводят оценку выполнения персоналом организации в отчетном году требований радиационной безопасности. В нем перечисляют проведенные в текущем году специальные мероприятия, направленные на снижение облучения персонала и населения за счет деятельности организации, предотвращение случаев превышения установленных пределов доз, допустимых уровней воздействия (квот), допустимых и контрольных уровней, снижение уровней выбросов и сбросов техногенных радионуклидов, снижение вероятности радиационных аварий и дают оценку эффективности проведенных за отчетный год мероприятий. В данном </w:t>
      </w:r>
      <w:hyperlink w:history="0" w:anchor="P755" w:tooltip="4. Оценка эффективности мероприятий по обеспечению радиационной безопасности и выполнению норм, правил и гигиенических нормативов в области радиационной безопасности">
        <w:r>
          <w:rPr>
            <w:sz w:val="24"/>
            <w:color w:val="0000ff"/>
          </w:rPr>
          <w:t xml:space="preserve">пункте</w:t>
        </w:r>
      </w:hyperlink>
      <w:r>
        <w:rPr>
          <w:sz w:val="24"/>
        </w:rPr>
        <w:t xml:space="preserve"> приводят информацию о выполнении организацией рекомендаций заключения Управления Роспотребнадзора по субъекту Российской Федерации к РГПО за прошлый год, предписаний и представлений Управления Роспотребнадзора по субъекту Российской Федерации, касающихся вопросов обеспечения радиационной безопасности.</w:t>
      </w:r>
    </w:p>
    <w:p>
      <w:pPr>
        <w:pStyle w:val="0"/>
        <w:spacing w:before="240" w:lineRule="auto"/>
        <w:ind w:firstLine="540"/>
        <w:jc w:val="both"/>
      </w:pPr>
      <w:r>
        <w:rPr>
          <w:sz w:val="24"/>
        </w:rPr>
        <w:t xml:space="preserve">17. В </w:t>
      </w:r>
      <w:hyperlink w:history="0" w:anchor="P762" w:tooltip="5. Радиационные аварии, происшествия">
        <w:r>
          <w:rPr>
            <w:sz w:val="24"/>
            <w:color w:val="0000ff"/>
          </w:rPr>
          <w:t xml:space="preserve">пункте 5</w:t>
        </w:r>
      </w:hyperlink>
      <w:r>
        <w:rPr>
          <w:sz w:val="24"/>
        </w:rPr>
        <w:t xml:space="preserve"> РГПО перечисляют все радиационные аварии и происшествия, имевшие место в организации в отчетном году. К ним относятся любые случаи потери управления техногенными ИИИ, которые могли бы привести или привели к незапланированному облучению людей или радиоактивному загрязнению окружающей среды, превышающим величины, регламентированные для контролируемых условий.</w:t>
      </w:r>
    </w:p>
    <w:p>
      <w:pPr>
        <w:pStyle w:val="0"/>
        <w:spacing w:before="240" w:lineRule="auto"/>
        <w:ind w:firstLine="540"/>
        <w:jc w:val="both"/>
      </w:pPr>
      <w:r>
        <w:rPr>
          <w:sz w:val="24"/>
        </w:rPr>
        <w:t xml:space="preserve">В каждую строку </w:t>
      </w:r>
      <w:hyperlink w:history="0" w:anchor="P764" w:tooltip="N п/п">
        <w:r>
          <w:rPr>
            <w:sz w:val="24"/>
            <w:color w:val="0000ff"/>
          </w:rPr>
          <w:t xml:space="preserve">таблицы</w:t>
        </w:r>
      </w:hyperlink>
      <w:r>
        <w:rPr>
          <w:sz w:val="24"/>
        </w:rPr>
        <w:t xml:space="preserve"> пункта 5 РГПО заносят дату радиационной аварии (происшествия) и ее краткое описание, включающее следующую информацию:</w:t>
      </w:r>
    </w:p>
    <w:p>
      <w:pPr>
        <w:pStyle w:val="0"/>
        <w:spacing w:before="240" w:lineRule="auto"/>
        <w:ind w:firstLine="540"/>
        <w:jc w:val="both"/>
      </w:pPr>
      <w:r>
        <w:rPr>
          <w:sz w:val="24"/>
        </w:rPr>
        <w:t xml:space="preserve">- характеристики ИИИ, с которым произошла авария;</w:t>
      </w:r>
    </w:p>
    <w:p>
      <w:pPr>
        <w:pStyle w:val="0"/>
        <w:spacing w:before="240" w:lineRule="auto"/>
        <w:ind w:firstLine="540"/>
        <w:jc w:val="both"/>
      </w:pPr>
      <w:r>
        <w:rPr>
          <w:sz w:val="24"/>
        </w:rPr>
        <w:t xml:space="preserve">- характер аварии и состояние ИИИ в результате аварии;</w:t>
      </w:r>
    </w:p>
    <w:p>
      <w:pPr>
        <w:pStyle w:val="0"/>
        <w:spacing w:before="240" w:lineRule="auto"/>
        <w:ind w:firstLine="540"/>
        <w:jc w:val="both"/>
      </w:pPr>
      <w:r>
        <w:rPr>
          <w:sz w:val="24"/>
        </w:rPr>
        <w:t xml:space="preserve">- наличие, радионуклидный состав, уровень и масштабы радиоактивного загрязнения (если оно имело место);</w:t>
      </w:r>
    </w:p>
    <w:p>
      <w:pPr>
        <w:pStyle w:val="0"/>
        <w:spacing w:before="240" w:lineRule="auto"/>
        <w:ind w:firstLine="540"/>
        <w:jc w:val="both"/>
      </w:pPr>
      <w:r>
        <w:rPr>
          <w:sz w:val="24"/>
        </w:rPr>
        <w:t xml:space="preserve">- дозы аварийного облучения персонала и/или населения (если имело место).</w:t>
      </w:r>
    </w:p>
    <w:p>
      <w:pPr>
        <w:pStyle w:val="0"/>
        <w:spacing w:before="240" w:lineRule="auto"/>
        <w:ind w:firstLine="540"/>
        <w:jc w:val="both"/>
      </w:pPr>
      <w:r>
        <w:rPr>
          <w:sz w:val="24"/>
        </w:rPr>
        <w:t xml:space="preserve">При отсутствии в отчетном году радиационных аварий и происшествий таблица не заполняется.</w:t>
      </w:r>
    </w:p>
    <w:p>
      <w:pPr>
        <w:pStyle w:val="0"/>
        <w:spacing w:before="240" w:lineRule="auto"/>
        <w:ind w:firstLine="540"/>
        <w:jc w:val="both"/>
      </w:pPr>
      <w:r>
        <w:rPr>
          <w:sz w:val="24"/>
        </w:rPr>
        <w:t xml:space="preserve">18. В </w:t>
      </w:r>
      <w:hyperlink w:history="0" w:anchor="P780" w:tooltip="6. Наличие планов мероприятий по ликвидации радиационных аварий, происшествий и их последствий, наличие средств и сил">
        <w:r>
          <w:rPr>
            <w:sz w:val="24"/>
            <w:color w:val="0000ff"/>
          </w:rPr>
          <w:t xml:space="preserve">пункт 6</w:t>
        </w:r>
      </w:hyperlink>
      <w:r>
        <w:rPr>
          <w:sz w:val="24"/>
        </w:rPr>
        <w:t xml:space="preserve"> РГПО заносят данные о наличии или отсутствии в организации "Плана мероприятий по защите персонала в случае радиационной аварии" &lt;38&gt; и "Инструкции по действиям персонала в аварийных ситуациях" &lt;39&gt;, а также даты утверждения этих документов руководителем организации. Далее приводятся данные о наличии и достаточности в организации специальных сил и средств (средств индивидуальной защиты, дезактивирующих средств, аварийных дозиметров, средств первой медицинской помощи, специализированных аварийных формирований) на случай возникновения радиационной аварии. При этом их наличие и достаточность оценивается по трехбалльной шкале: имеются в достаточном количестве, имеются в недостаточном количестве, отсутствуют.</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&lt;38&gt; </w:t>
      </w:r>
      <w:hyperlink w:history="0" r:id="rId56" w:tooltip="Постановление Главного государственного санитарного врача РФ от 26.04.2010 N 40 (ред. от 16.09.2013) &quot;Об утверждении СП 2.6.1.2612-10 &quot;Основные санитарные правила обеспечения радиационной безопасности (ОСПОРБ-99/2010)&quot; (вместе с &quot;СП 2.6.1.2612-10. ОСПОРБ-99/2010. Санитарные правила и нормативы...&quot;) (Зарегистрировано в Минюсте России 11.08.2010 N 18115) {КонсультантПлюс}">
        <w:r>
          <w:rPr>
            <w:sz w:val="24"/>
            <w:color w:val="0000ff"/>
          </w:rPr>
          <w:t xml:space="preserve">Пункт 6.4</w:t>
        </w:r>
      </w:hyperlink>
      <w:r>
        <w:rPr>
          <w:sz w:val="24"/>
        </w:rPr>
        <w:t xml:space="preserve"> ОСПОРБ-99/2010.</w:t>
      </w:r>
    </w:p>
    <w:p>
      <w:pPr>
        <w:pStyle w:val="0"/>
        <w:spacing w:before="240" w:lineRule="auto"/>
        <w:ind w:firstLine="540"/>
        <w:jc w:val="both"/>
      </w:pPr>
      <w:r>
        <w:rPr>
          <w:sz w:val="24"/>
        </w:rPr>
        <w:t xml:space="preserve">&lt;39&gt; </w:t>
      </w:r>
      <w:hyperlink w:history="0" r:id="rId57" w:tooltip="Постановление Главного государственного санитарного врача РФ от 26.04.2010 N 40 (ред. от 16.09.2013) &quot;Об утверждении СП 2.6.1.2612-10 &quot;Основные санитарные правила обеспечения радиационной безопасности (ОСПОРБ-99/2010)&quot; (вместе с &quot;СП 2.6.1.2612-10. ОСПОРБ-99/2010. Санитарные правила и нормативы...&quot;) (Зарегистрировано в Минюсте России 11.08.2010 N 18115) {КонсультантПлюс}">
        <w:r>
          <w:rPr>
            <w:sz w:val="24"/>
            <w:color w:val="0000ff"/>
          </w:rPr>
          <w:t xml:space="preserve">Пункт 6.5</w:t>
        </w:r>
      </w:hyperlink>
      <w:r>
        <w:rPr>
          <w:sz w:val="24"/>
        </w:rPr>
        <w:t xml:space="preserve"> ОСПОРБ-99/2010.</w:t>
      </w:r>
    </w:p>
    <w:p>
      <w:pPr>
        <w:pStyle w:val="0"/>
        <w:jc w:val="both"/>
      </w:pPr>
      <w:r>
        <w:rPr>
          <w:sz w:val="24"/>
        </w:rPr>
      </w:r>
    </w:p>
    <w:p>
      <w:pPr>
        <w:pStyle w:val="0"/>
        <w:ind w:firstLine="540"/>
        <w:jc w:val="both"/>
      </w:pPr>
      <w:r>
        <w:rPr>
          <w:sz w:val="24"/>
        </w:rPr>
        <w:t xml:space="preserve">19. Заполненные пункты РГПО подписывает лицо, ответственное за радиационную безопасность в организации &lt;40&gt;, с указанием его должности (полностью), фамилии, имени и отчества (полностью) и даты подписания. В </w:t>
      </w:r>
      <w:hyperlink w:history="0" w:anchor="P812" w:tooltip="Контактный телефон:">
        <w:r>
          <w:rPr>
            <w:sz w:val="24"/>
            <w:color w:val="0000ff"/>
          </w:rPr>
          <w:t xml:space="preserve">графе</w:t>
        </w:r>
      </w:hyperlink>
      <w:r>
        <w:rPr>
          <w:sz w:val="24"/>
        </w:rPr>
        <w:t xml:space="preserve">: "контактный телефон" указывают телефон лица, ответственного за радиационную безопасность (с кодом населенного пункта).</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&lt;40&gt; </w:t>
      </w:r>
      <w:hyperlink w:history="0" r:id="rId58" w:tooltip="Постановление Главного государственного санитарного врача РФ от 26.04.2010 N 40 (ред. от 16.09.2013) &quot;Об утверждении СП 2.6.1.2612-10 &quot;Основные санитарные правила обеспечения радиационной безопасности (ОСПОРБ-99/2010)&quot; (вместе с &quot;СП 2.6.1.2612-10. ОСПОРБ-99/2010. Санитарные правила и нормативы...&quot;) (Зарегистрировано в Минюсте России 11.08.2010 N 18115) {КонсультантПлюс}">
        <w:r>
          <w:rPr>
            <w:sz w:val="24"/>
            <w:color w:val="0000ff"/>
          </w:rPr>
          <w:t xml:space="preserve">Пункт 3.4.9</w:t>
        </w:r>
      </w:hyperlink>
      <w:r>
        <w:rPr>
          <w:sz w:val="24"/>
        </w:rPr>
        <w:t xml:space="preserve"> ОСПОРБ-99/2010.</w:t>
      </w:r>
    </w:p>
    <w:p>
      <w:pPr>
        <w:pStyle w:val="0"/>
        <w:jc w:val="both"/>
      </w:pPr>
      <w:r>
        <w:rPr>
          <w:sz w:val="24"/>
        </w:rPr>
      </w:r>
    </w:p>
    <w:p>
      <w:pPr>
        <w:pStyle w:val="0"/>
        <w:ind w:firstLine="540"/>
        <w:jc w:val="both"/>
      </w:pPr>
      <w:r>
        <w:rPr>
          <w:sz w:val="24"/>
        </w:rPr>
        <w:t xml:space="preserve">20. В </w:t>
      </w:r>
      <w:hyperlink w:history="0" w:anchor="P825" w:tooltip="7. Заключение администрации о состоянии радиационной безопасности в организации за отчетный год. Сведения о превышении контрольных уровней и гигиенических нормативов, радиационных авариях, предписаниях надзорных органов.">
        <w:r>
          <w:rPr>
            <w:sz w:val="24"/>
            <w:color w:val="0000ff"/>
          </w:rPr>
          <w:t xml:space="preserve">пункте 7</w:t>
        </w:r>
      </w:hyperlink>
      <w:r>
        <w:rPr>
          <w:sz w:val="24"/>
        </w:rPr>
        <w:t xml:space="preserve"> РГПО приводят параметры, по которым были превышены в отчетном году значения контрольных уровней &lt;41&gt;, дают оценку состояния радиационной безопасности в организации, приводят информацию о наличии у организации обособленных подразделений, постоянно осуществляющих обращение с техногенными ИИИ в другом субъекте Российской Федерации. Для каждого обособленного подразделения указывают наименование подразделения, субъект Российской Федерации, в котором подразделение осуществляет обращение с техногенными ИИИ, вид осуществляемой деятельности и численность персонала группы А &lt;42&gt; в подразделении.</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&lt;41&gt; </w:t>
      </w:r>
      <w:hyperlink w:history="0" r:id="rId59" w:tooltip="Постановление Главного государственного санитарного врача РФ от 26.04.2010 N 40 (ред. от 16.09.2013) &quot;Об утверждении СП 2.6.1.2612-10 &quot;Основные санитарные правила обеспечения радиационной безопасности (ОСПОРБ-99/2010)&quot; (вместе с &quot;СП 2.6.1.2612-10. ОСПОРБ-99/2010. Санитарные правила и нормативы...&quot;) (Зарегистрировано в Минюсте России 11.08.2010 N 18115) {КонсультантПлюс}">
        <w:r>
          <w:rPr>
            <w:sz w:val="24"/>
            <w:color w:val="0000ff"/>
          </w:rPr>
          <w:t xml:space="preserve">Пункт 3.13.9</w:t>
        </w:r>
      </w:hyperlink>
      <w:r>
        <w:rPr>
          <w:sz w:val="24"/>
        </w:rPr>
        <w:t xml:space="preserve"> ОСПОРБ-99/2010.</w:t>
      </w:r>
    </w:p>
    <w:p>
      <w:pPr>
        <w:pStyle w:val="0"/>
        <w:spacing w:before="240" w:lineRule="auto"/>
        <w:ind w:firstLine="540"/>
        <w:jc w:val="both"/>
      </w:pPr>
      <w:r>
        <w:rPr>
          <w:sz w:val="24"/>
        </w:rPr>
        <w:t xml:space="preserve">&lt;42&gt; </w:t>
      </w:r>
      <w:hyperlink w:history="0" r:id="rId60" w:tooltip="Постановление Главного государственного санитарного врача РФ от 07.07.2009 N 47 &quot;Об утверждении СанПиН 2.6.1.2523-09&quot; (вместе с &quot;НРБ-99/2009. СанПиН 2.6.1.2523-09. Нормы радиационной безопасности. Санитарные правила и нормативы&quot;) (Зарегистрировано в Минюсте РФ 14.08.2009 N 14534) {КонсультантПлюс}">
        <w:r>
          <w:rPr>
            <w:sz w:val="24"/>
            <w:color w:val="0000ff"/>
          </w:rPr>
          <w:t xml:space="preserve">Пункт 48</w:t>
        </w:r>
      </w:hyperlink>
      <w:r>
        <w:rPr>
          <w:sz w:val="24"/>
        </w:rPr>
        <w:t xml:space="preserve"> приложения 7 к НРБ-99/2009.</w:t>
      </w:r>
    </w:p>
    <w:p>
      <w:pPr>
        <w:pStyle w:val="0"/>
        <w:jc w:val="both"/>
      </w:pPr>
      <w:r>
        <w:rPr>
          <w:sz w:val="24"/>
        </w:rPr>
      </w:r>
    </w:p>
    <w:p>
      <w:pPr>
        <w:pStyle w:val="0"/>
        <w:ind w:firstLine="540"/>
        <w:jc w:val="both"/>
      </w:pPr>
      <w:r>
        <w:rPr>
          <w:sz w:val="24"/>
        </w:rPr>
        <w:t xml:space="preserve">21. Заполненный РГПО подписывает руководитель организации с указанием его должности (полностью), фамилии, имени и отчества (полностью) и даты. Подпись руководителя организации скрепляют печатью организации.</w:t>
      </w:r>
    </w:p>
    <w:p>
      <w:pPr>
        <w:pStyle w:val="0"/>
        <w:spacing w:before="240" w:lineRule="auto"/>
        <w:ind w:firstLine="540"/>
        <w:jc w:val="both"/>
      </w:pPr>
      <w:r>
        <w:rPr>
          <w:sz w:val="24"/>
        </w:rPr>
        <w:t xml:space="preserve">22. На каждый РГПО Управление Роспотребнадзора по субъекту Российской Федерации выдает заключение. В нем дается оценка состояния радиационной безопасности персонала организации и лиц из населения, проживающих в ее ЗН, а также достоверности и полноты представления в РГПО информации по каждому из следующих разделов:</w:t>
      </w:r>
    </w:p>
    <w:p>
      <w:pPr>
        <w:pStyle w:val="0"/>
        <w:spacing w:before="240" w:lineRule="auto"/>
        <w:ind w:firstLine="540"/>
        <w:jc w:val="both"/>
      </w:pPr>
      <w:r>
        <w:rPr>
          <w:sz w:val="24"/>
        </w:rPr>
        <w:t xml:space="preserve">- общие сведения об организации;</w:t>
      </w:r>
    </w:p>
    <w:p>
      <w:pPr>
        <w:pStyle w:val="0"/>
        <w:spacing w:before="240" w:lineRule="auto"/>
        <w:ind w:firstLine="540"/>
        <w:jc w:val="both"/>
      </w:pPr>
      <w:r>
        <w:rPr>
          <w:sz w:val="24"/>
        </w:rPr>
        <w:t xml:space="preserve">- сведения о видах проводимых в организации работ и имеющихся техногенных ИИИ (</w:t>
      </w:r>
      <w:hyperlink w:history="0" w:anchor="P244" w:tooltip="1. Характеристика работ с использованием источников ионизирующего излучения (далее по тексту ИИИ) в организации (предприятии)">
        <w:r>
          <w:rPr>
            <w:sz w:val="24"/>
            <w:color w:val="0000ff"/>
          </w:rPr>
          <w:t xml:space="preserve">раздел 1</w:t>
        </w:r>
      </w:hyperlink>
      <w:r>
        <w:rPr>
          <w:sz w:val="24"/>
        </w:rPr>
        <w:t xml:space="preserve"> РГПО);</w:t>
      </w:r>
    </w:p>
    <w:p>
      <w:pPr>
        <w:pStyle w:val="0"/>
        <w:spacing w:before="240" w:lineRule="auto"/>
        <w:ind w:firstLine="540"/>
        <w:jc w:val="both"/>
      </w:pPr>
      <w:r>
        <w:rPr>
          <w:sz w:val="24"/>
        </w:rPr>
        <w:t xml:space="preserve">- характеристика воздействия организации в СЗЗ и ЗН при их наличии (</w:t>
      </w:r>
      <w:hyperlink w:history="0" w:anchor="P321" w:tooltip="2. Характеристика организации (предприятия), как потенциального источника радиоактивного загрязнения окружающей среды">
        <w:r>
          <w:rPr>
            <w:sz w:val="24"/>
            <w:color w:val="0000ff"/>
          </w:rPr>
          <w:t xml:space="preserve">раздел 2</w:t>
        </w:r>
      </w:hyperlink>
      <w:r>
        <w:rPr>
          <w:sz w:val="24"/>
        </w:rPr>
        <w:t xml:space="preserve"> РГПО);</w:t>
      </w:r>
    </w:p>
    <w:p>
      <w:pPr>
        <w:pStyle w:val="0"/>
        <w:spacing w:before="240" w:lineRule="auto"/>
        <w:ind w:firstLine="540"/>
        <w:jc w:val="both"/>
      </w:pPr>
      <w:r>
        <w:rPr>
          <w:sz w:val="24"/>
        </w:rPr>
        <w:t xml:space="preserve">- дозы облучения персонала и населения ЗН (при ее наличии) за счет деятельности организации (</w:t>
      </w:r>
      <w:hyperlink w:history="0" w:anchor="P635" w:tooltip="3.1. Годовые эффективные дозы облучения персонала - лиц, работающих с техногенными источниками (далее по тексту - группа А) и лиц, находящихся по условиям работы в сфере воздействия техногенных источников (далее по тексту группа Б).">
        <w:r>
          <w:rPr>
            <w:sz w:val="24"/>
            <w:color w:val="0000ff"/>
          </w:rPr>
          <w:t xml:space="preserve">пункты 3.1</w:t>
        </w:r>
      </w:hyperlink>
      <w:r>
        <w:rPr>
          <w:sz w:val="24"/>
        </w:rPr>
        <w:t xml:space="preserve"> - </w:t>
      </w:r>
      <w:hyperlink w:history="0" w:anchor="P687" w:tooltip="3.2. Годовые эффективные дозы облучения населения, проживающего в зоне наблюдения за счет деятельности организации (предприятия)">
        <w:r>
          <w:rPr>
            <w:sz w:val="24"/>
            <w:color w:val="0000ff"/>
          </w:rPr>
          <w:t xml:space="preserve">3.2</w:t>
        </w:r>
      </w:hyperlink>
      <w:r>
        <w:rPr>
          <w:sz w:val="24"/>
        </w:rPr>
        <w:t xml:space="preserve"> РГПО);</w:t>
      </w:r>
    </w:p>
    <w:p>
      <w:pPr>
        <w:pStyle w:val="0"/>
        <w:spacing w:before="240" w:lineRule="auto"/>
        <w:ind w:firstLine="540"/>
        <w:jc w:val="both"/>
      </w:pPr>
      <w:r>
        <w:rPr>
          <w:sz w:val="24"/>
        </w:rPr>
        <w:t xml:space="preserve">- дозы облучения пациентов, для организаций, проводящих медицинские диагностические процедуры с использованием ИИИ (</w:t>
      </w:r>
      <w:hyperlink w:history="0" w:anchor="P706" w:tooltip="3.3. Годовые дозы медицинского облучения населения">
        <w:r>
          <w:rPr>
            <w:sz w:val="24"/>
            <w:color w:val="0000ff"/>
          </w:rPr>
          <w:t xml:space="preserve">пункт 3.3</w:t>
        </w:r>
      </w:hyperlink>
      <w:r>
        <w:rPr>
          <w:sz w:val="24"/>
        </w:rPr>
        <w:t xml:space="preserve"> РГПО);</w:t>
      </w:r>
    </w:p>
    <w:p>
      <w:pPr>
        <w:pStyle w:val="0"/>
        <w:spacing w:before="240" w:lineRule="auto"/>
        <w:ind w:firstLine="540"/>
        <w:jc w:val="both"/>
      </w:pPr>
      <w:r>
        <w:rPr>
          <w:sz w:val="24"/>
        </w:rPr>
        <w:t xml:space="preserve">- оценки величин среднего индивидуального радиационного риска за счет техногенного производственного облучения персонала и населения ЗН (при ее наличии). Средний индивидуальный радиационный риск за счет техногенного облучения персонала определяется как произведение средней годовой эффективной дозы техногенного облучения персонала в мЗв на 4,2·10</w:t>
      </w:r>
      <w:r>
        <w:rPr>
          <w:sz w:val="24"/>
          <w:vertAlign w:val="superscript"/>
        </w:rPr>
        <w:t xml:space="preserve">-5</w:t>
      </w:r>
      <w:r>
        <w:rPr>
          <w:sz w:val="24"/>
        </w:rPr>
        <w:t xml:space="preserve">. Средний индивидуальный радиационный риск за счет техногенного облучения населения зоны наблюдения в результате деятельности организации, за счет природного облучения и за счет медицинского облучения пациентов (для организаций, проводящих диагностические исследования с использованием ИИИ) определяется как произведение соответствующей средней годовой эффективной дозы в мЗв на 5,7·10</w:t>
      </w:r>
      <w:r>
        <w:rPr>
          <w:sz w:val="24"/>
          <w:vertAlign w:val="superscript"/>
        </w:rPr>
        <w:t xml:space="preserve">-5</w:t>
      </w:r>
      <w:r>
        <w:rPr>
          <w:sz w:val="24"/>
        </w:rPr>
        <w:t xml:space="preserve">;</w:t>
      </w:r>
    </w:p>
    <w:p>
      <w:pPr>
        <w:pStyle w:val="0"/>
        <w:spacing w:before="240" w:lineRule="auto"/>
        <w:ind w:firstLine="540"/>
        <w:jc w:val="both"/>
      </w:pPr>
      <w:r>
        <w:rPr>
          <w:sz w:val="24"/>
        </w:rPr>
        <w:t xml:space="preserve">- мероприятия по повышению радиационной безопасности и предупреждению аварий, наличие превышений значений контрольных уровней, наличие радиационных происшествий и аварий и готовность к ликвидации их последствий.</w:t>
      </w:r>
    </w:p>
    <w:p>
      <w:pPr>
        <w:pStyle w:val="0"/>
        <w:spacing w:before="240" w:lineRule="auto"/>
        <w:ind w:firstLine="540"/>
        <w:jc w:val="both"/>
      </w:pPr>
      <w:r>
        <w:rPr>
          <w:sz w:val="24"/>
        </w:rPr>
        <w:t xml:space="preserve">Оценка достоверности и полноты, представленной в РГПО информации, сбор и обобщение представленных сведений, в том числе в рамках ЕСКИД, по объектам, состоящим на контроле Управлений Роспотребнадзора по субъектам Российской Федерации выполняются подведомственными им Федеральными бюджетными учреждениями здравоохранения по субъектам Российской Федерации и железнодорожному транспорту.</w:t>
      </w:r>
    </w:p>
    <w:p>
      <w:pPr>
        <w:pStyle w:val="0"/>
        <w:spacing w:before="240" w:lineRule="auto"/>
        <w:ind w:firstLine="540"/>
        <w:jc w:val="both"/>
      </w:pPr>
      <w:r>
        <w:rPr>
          <w:sz w:val="24"/>
        </w:rPr>
        <w:t xml:space="preserve">Достоверность представляемой в РГПО информации подтверждается:</w:t>
      </w:r>
    </w:p>
    <w:p>
      <w:pPr>
        <w:pStyle w:val="0"/>
        <w:spacing w:before="240" w:lineRule="auto"/>
        <w:ind w:firstLine="540"/>
        <w:jc w:val="both"/>
      </w:pPr>
      <w:r>
        <w:rPr>
          <w:sz w:val="24"/>
        </w:rPr>
        <w:t xml:space="preserve">- актом инвентаризации ИИИ в организации за отчетный год;</w:t>
      </w:r>
    </w:p>
    <w:p>
      <w:pPr>
        <w:pStyle w:val="0"/>
        <w:spacing w:before="240" w:lineRule="auto"/>
        <w:ind w:firstLine="540"/>
        <w:jc w:val="both"/>
      </w:pPr>
      <w:r>
        <w:rPr>
          <w:sz w:val="24"/>
        </w:rPr>
        <w:t xml:space="preserve">- протоколами ИДК персонала с приказами об отнесении персонала к группе А и Б за отчетный год.</w:t>
      </w:r>
    </w:p>
    <w:p>
      <w:pPr>
        <w:pStyle w:val="0"/>
        <w:spacing w:before="240" w:lineRule="auto"/>
        <w:ind w:firstLine="540"/>
        <w:jc w:val="both"/>
      </w:pPr>
      <w:r>
        <w:rPr>
          <w:sz w:val="24"/>
        </w:rPr>
        <w:t xml:space="preserve">В заключении приводится анализ состояния радиационной безопасности в организации, основанный на данных, приведенных в РГПО, данных о деятельности других аналогичных организаций, а также на имеющихся данных за прошлые годы. Оценка состояния радиационной безопасности в организации дается по трехбалльной шкале:</w:t>
      </w:r>
    </w:p>
    <w:p>
      <w:pPr>
        <w:pStyle w:val="0"/>
        <w:spacing w:before="240" w:lineRule="auto"/>
        <w:ind w:firstLine="540"/>
        <w:jc w:val="both"/>
      </w:pPr>
      <w:r>
        <w:rPr>
          <w:sz w:val="24"/>
        </w:rPr>
        <w:t xml:space="preserve">"хорошая" - организация работ полностью соответствует требованиям радиационной безопасности;</w:t>
      </w:r>
    </w:p>
    <w:p>
      <w:pPr>
        <w:pStyle w:val="0"/>
        <w:spacing w:before="240" w:lineRule="auto"/>
        <w:ind w:firstLine="540"/>
        <w:jc w:val="both"/>
      </w:pPr>
      <w:r>
        <w:rPr>
          <w:sz w:val="24"/>
        </w:rPr>
        <w:t xml:space="preserve">"удовлетворительная" - отмечены некоторые нарушения требований радиационной безопасности, не приведшие к превышающему установленным нормативы облучению людей &lt;43&gt; или радиоактивному загрязнению окружающей среды &lt;44&gt;;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&lt;43&gt; </w:t>
      </w:r>
      <w:hyperlink w:history="0" r:id="rId61" w:tooltip="Постановление Главного государственного санитарного врача РФ от 07.07.2009 N 47 &quot;Об утверждении СанПиН 2.6.1.2523-09&quot; (вместе с &quot;НРБ-99/2009. СанПиН 2.6.1.2523-09. Нормы радиационной безопасности. Санитарные правила и нормативы&quot;) (Зарегистрировано в Минюсте РФ 14.08.2009 N 14534) {КонсультантПлюс}">
        <w:r>
          <w:rPr>
            <w:sz w:val="24"/>
            <w:color w:val="0000ff"/>
          </w:rPr>
          <w:t xml:space="preserve">Таблица 3.1</w:t>
        </w:r>
      </w:hyperlink>
      <w:r>
        <w:rPr>
          <w:sz w:val="24"/>
        </w:rPr>
        <w:t xml:space="preserve"> НРБ-99/2009.</w:t>
      </w:r>
    </w:p>
    <w:p>
      <w:pPr>
        <w:pStyle w:val="0"/>
        <w:spacing w:before="240" w:lineRule="auto"/>
        <w:ind w:firstLine="540"/>
        <w:jc w:val="both"/>
      </w:pPr>
      <w:r>
        <w:rPr>
          <w:sz w:val="24"/>
        </w:rPr>
        <w:t xml:space="preserve">&lt;44&gt; </w:t>
      </w:r>
      <w:hyperlink w:history="0" r:id="rId62" w:tooltip="Постановление Главного государственного санитарного врача РФ от 26.04.2010 N 40 (ред. от 16.09.2013) &quot;Об утверждении СП 2.6.1.2612-10 &quot;Основные санитарные правила обеспечения радиационной безопасности (ОСПОРБ-99/2010)&quot; (вместе с &quot;СП 2.6.1.2612-10. ОСПОРБ-99/2010. Санитарные правила и нормативы...&quot;) (Зарегистрировано в Минюсте России 11.08.2010 N 18115) {КонсультантПлюс}">
        <w:r>
          <w:rPr>
            <w:sz w:val="24"/>
            <w:color w:val="0000ff"/>
          </w:rPr>
          <w:t xml:space="preserve">Пункт 3.11.2</w:t>
        </w:r>
      </w:hyperlink>
      <w:r>
        <w:rPr>
          <w:sz w:val="24"/>
        </w:rPr>
        <w:t xml:space="preserve"> ОСПОРБ-99/2010.</w:t>
      </w:r>
    </w:p>
    <w:p>
      <w:pPr>
        <w:pStyle w:val="0"/>
        <w:jc w:val="both"/>
      </w:pPr>
      <w:r>
        <w:rPr>
          <w:sz w:val="24"/>
        </w:rPr>
      </w:r>
    </w:p>
    <w:p>
      <w:pPr>
        <w:pStyle w:val="0"/>
        <w:ind w:firstLine="540"/>
        <w:jc w:val="both"/>
      </w:pPr>
      <w:r>
        <w:rPr>
          <w:sz w:val="24"/>
        </w:rPr>
        <w:t xml:space="preserve">"неудовлетворительная" - отмечены существенные нарушения требований действующих нормативных документов в области радиационной безопасности.</w:t>
      </w:r>
    </w:p>
    <w:p>
      <w:pPr>
        <w:pStyle w:val="0"/>
        <w:spacing w:before="240" w:lineRule="auto"/>
        <w:ind w:firstLine="540"/>
        <w:jc w:val="both"/>
      </w:pPr>
      <w:r>
        <w:rPr>
          <w:sz w:val="24"/>
        </w:rPr>
        <w:t xml:space="preserve">Приводится анализ состояния радиационной безопасности в организации в динамике, путем сопоставления численных значений показателей за 3 - 5 лет. Представляется оценка выполнения замечаний и предложений, имевшихся в заключении к РГПО за прошлый год и формулируются предложения по устранению отмеченных недостатков и повышению уровня радиационной безопасности в организации.</w:t>
      </w:r>
    </w:p>
    <w:p>
      <w:pPr>
        <w:pStyle w:val="0"/>
        <w:spacing w:before="240" w:lineRule="auto"/>
        <w:ind w:firstLine="540"/>
        <w:jc w:val="both"/>
      </w:pPr>
      <w:r>
        <w:rPr>
          <w:sz w:val="24"/>
        </w:rPr>
        <w:t xml:space="preserve">Заключение подписывает руководитель Управления Роспотребнадзора по субъекту Российской Федерации с указанием его фамилии, имени, отчества (полностью) и даты. Подпись скрепляется печатью.</w:t>
      </w:r>
    </w:p>
    <w:p>
      <w:pPr>
        <w:pStyle w:val="0"/>
        <w:spacing w:before="240" w:lineRule="auto"/>
        <w:ind w:firstLine="540"/>
        <w:jc w:val="both"/>
      </w:pPr>
      <w:r>
        <w:rPr>
          <w:sz w:val="24"/>
        </w:rPr>
        <w:t xml:space="preserve">23. Руководитель организации знакомится с заключением Управления Роспотребнадзора по субъекту Российской Федерации под роспись с указанием должности (полностью), фамилии, имени и отчества (полностью) и даты. Подпись руководителя организации скрепляется печатью организации.</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Приложение 3</w:t>
      </w:r>
    </w:p>
    <w:p>
      <w:pPr>
        <w:pStyle w:val="0"/>
        <w:jc w:val="right"/>
      </w:pPr>
      <w:r>
        <w:rPr>
          <w:sz w:val="24"/>
        </w:rPr>
        <w:t xml:space="preserve">к МР 2.6.1.0257-21</w:t>
      </w:r>
    </w:p>
    <w:p>
      <w:pPr>
        <w:pStyle w:val="0"/>
        <w:jc w:val="both"/>
      </w:pPr>
      <w:r>
        <w:rPr>
          <w:sz w:val="24"/>
        </w:rPr>
      </w:r>
    </w:p>
    <w:bookmarkStart w:id="1084" w:name="P1084"/>
    <w:bookmarkEnd w:id="1084"/>
    <w:p>
      <w:pPr>
        <w:pStyle w:val="0"/>
        <w:jc w:val="center"/>
      </w:pPr>
      <w:r>
        <w:rPr>
          <w:sz w:val="24"/>
        </w:rPr>
        <w:t xml:space="preserve">ФОРМА РАДИАЦИОННО-ГИГИЕНИЧЕСКОГО ПАСПОРТА ТЕРРИТОРИИ</w:t>
      </w:r>
    </w:p>
    <w:p>
      <w:pPr>
        <w:pStyle w:val="0"/>
        <w:jc w:val="both"/>
      </w:pPr>
      <w:r>
        <w:rPr>
          <w:sz w:val="24"/>
        </w:rPr>
      </w:r>
    </w:p>
    <w:tbl>
      <w:tblPr>
        <w:tblInd w:w="0" w:type="dxa"/>
        <w:tblLayout w:type="fixed"/>
        <w:tblBorders>
          <w:bottom w:val="single" w:sz="4"/>
        </w:tblBorders>
        <w:tblCellMar>
          <w:top w:w="102" w:type="dxa"/>
          <w:left w:w="62" w:type="dxa"/>
          <w:bottom w:w="102" w:type="dxa"/>
          <w:right w:w="62" w:type="dxa"/>
        </w:tblCellMar>
      </w:tblPr>
      <w:tblGrid>
        <w:gridCol w:w="9071"/>
      </w:tblGrid>
      <w:tr>
        <w:tc>
          <w:tcPr>
            <w:tcW w:w="9071" w:type="dxa"/>
            <w:tcBorders>
              <w:top w:val="nil"/>
              <w:left w:val="nil"/>
              <w:bottom w:val="single" w:sz="4"/>
              <w:right w:val="nil"/>
            </w:tcBorders>
          </w:tcPr>
          <w:p>
            <w:pPr>
              <w:pStyle w:val="0"/>
              <w:jc w:val="center"/>
            </w:pPr>
            <w:r>
              <w:rPr>
                <w:sz w:val="24"/>
              </w:rPr>
              <w:t xml:space="preserve">Радиационно-гигиенический паспорт территории</w:t>
            </w:r>
          </w:p>
          <w:p>
            <w:pPr>
              <w:pStyle w:val="0"/>
              <w:jc w:val="center"/>
            </w:pPr>
            <w:r>
              <w:rPr>
                <w:sz w:val="24"/>
              </w:rPr>
              <w:t xml:space="preserve">по состоянию на _____________ 20__ год</w:t>
            </w:r>
          </w:p>
        </w:tc>
      </w:tr>
    </w:tbl>
    <w:p>
      <w:pPr>
        <w:pStyle w:val="0"/>
        <w:jc w:val="both"/>
      </w:pPr>
      <w:r>
        <w:rPr>
          <w:sz w:val="24"/>
        </w:rPr>
      </w:r>
    </w:p>
    <w:tbl>
      <w:tblPr>
        <w:tblInd w:w="0" w:type="dxa"/>
        <w:tblLayout w:type="fixed"/>
        <w:tblBorders>
          <w:bottom w:val="single" w:sz="4"/>
        </w:tblBorders>
        <w:tblCellMar>
          <w:top w:w="102" w:type="dxa"/>
          <w:left w:w="62" w:type="dxa"/>
          <w:bottom w:w="102" w:type="dxa"/>
          <w:right w:w="62" w:type="dxa"/>
        </w:tblCellMar>
      </w:tblPr>
      <w:tblGrid>
        <w:gridCol w:w="4989"/>
        <w:gridCol w:w="4082"/>
      </w:tblGrid>
      <w:tr>
        <w:tc>
          <w:tcPr>
            <w:tcW w:w="4989" w:type="dxa"/>
            <w:tcBorders>
              <w:top w:val="nil"/>
              <w:left w:val="nil"/>
              <w:bottom w:val="nil"/>
              <w:right w:val="nil"/>
            </w:tcBorders>
          </w:tcPr>
          <w:p>
            <w:pPr>
              <w:pStyle w:val="0"/>
            </w:pPr>
            <w:r>
              <w:rPr>
                <w:sz w:val="24"/>
              </w:rPr>
              <w:t xml:space="preserve">Название субъекта Российской Федерации</w:t>
            </w:r>
          </w:p>
        </w:tc>
        <w:tc>
          <w:tcPr>
            <w:tcW w:w="4082" w:type="dxa"/>
            <w:tcBorders>
              <w:top w:val="nil"/>
              <w:left w:val="nil"/>
              <w:bottom w:val="single" w:sz="4"/>
              <w:right w:val="nil"/>
            </w:tcBorders>
          </w:tcPr>
          <w:p>
            <w:pPr>
              <w:pStyle w:val="0"/>
            </w:pPr>
            <w:r>
              <w:rPr>
                <w:sz w:val="24"/>
              </w:rPr>
            </w:r>
          </w:p>
        </w:tc>
      </w:tr>
      <w:tr>
        <w:tc>
          <w:tcPr>
            <w:gridSpan w:val="2"/>
            <w:tcW w:w="9071" w:type="dxa"/>
            <w:tcBorders>
              <w:top w:val="nil"/>
              <w:left w:val="nil"/>
              <w:bottom w:val="single" w:sz="4"/>
              <w:right w:val="nil"/>
            </w:tcBorders>
          </w:tcPr>
          <w:p>
            <w:pPr>
              <w:pStyle w:val="0"/>
            </w:pPr>
            <w:r>
              <w:rPr>
                <w:sz w:val="24"/>
              </w:rPr>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1928"/>
        <w:gridCol w:w="1276"/>
        <w:gridCol w:w="1191"/>
        <w:gridCol w:w="2665"/>
        <w:gridCol w:w="850"/>
        <w:gridCol w:w="1129"/>
      </w:tblGrid>
      <w:tr>
        <w:tc>
          <w:tcPr>
            <w:tcW w:w="1928" w:type="dxa"/>
            <w:tcBorders>
              <w:top w:val="nil"/>
              <w:left w:val="nil"/>
              <w:bottom w:val="nil"/>
              <w:right w:val="nil"/>
            </w:tcBorders>
          </w:tcPr>
          <w:p>
            <w:pPr>
              <w:pStyle w:val="0"/>
            </w:pPr>
            <w:r>
              <w:rPr>
                <w:sz w:val="24"/>
              </w:rPr>
              <w:t xml:space="preserve">Число жителей:</w:t>
            </w:r>
          </w:p>
        </w:tc>
        <w:tc>
          <w:tcPr>
            <w:tcW w:w="1276" w:type="dxa"/>
            <w:tcBorders>
              <w:top w:val="nil"/>
              <w:left w:val="nil"/>
              <w:bottom w:val="single" w:sz="4"/>
              <w:right w:val="nil"/>
            </w:tcBorders>
          </w:tcPr>
          <w:p>
            <w:pPr>
              <w:pStyle w:val="0"/>
            </w:pPr>
            <w:r>
              <w:rPr>
                <w:sz w:val="24"/>
              </w:rPr>
            </w:r>
          </w:p>
        </w:tc>
        <w:tc>
          <w:tcPr>
            <w:tcW w:w="1191" w:type="dxa"/>
            <w:tcBorders>
              <w:top w:val="nil"/>
              <w:left w:val="nil"/>
              <w:bottom w:val="nil"/>
              <w:right w:val="nil"/>
            </w:tcBorders>
          </w:tcPr>
          <w:p>
            <w:pPr>
              <w:pStyle w:val="0"/>
            </w:pPr>
            <w:r>
              <w:rPr>
                <w:sz w:val="24"/>
              </w:rPr>
              <w:t xml:space="preserve">тыс. чел.</w:t>
            </w:r>
          </w:p>
        </w:tc>
        <w:tc>
          <w:tcPr>
            <w:tcW w:w="2665" w:type="dxa"/>
            <w:tcBorders>
              <w:top w:val="nil"/>
              <w:left w:val="nil"/>
              <w:bottom w:val="nil"/>
              <w:right w:val="nil"/>
            </w:tcBorders>
          </w:tcPr>
          <w:p>
            <w:pPr>
              <w:pStyle w:val="0"/>
              <w:jc w:val="right"/>
            </w:pPr>
            <w:r>
              <w:rPr>
                <w:sz w:val="24"/>
              </w:rPr>
              <w:t xml:space="preserve">Площадь территории:</w:t>
            </w:r>
          </w:p>
        </w:tc>
        <w:tc>
          <w:tcPr>
            <w:tcW w:w="850" w:type="dxa"/>
            <w:tcBorders>
              <w:top w:val="nil"/>
              <w:left w:val="nil"/>
              <w:bottom w:val="single" w:sz="4"/>
              <w:right w:val="nil"/>
            </w:tcBorders>
          </w:tcPr>
          <w:p>
            <w:pPr>
              <w:pStyle w:val="0"/>
            </w:pPr>
            <w:r>
              <w:rPr>
                <w:sz w:val="24"/>
              </w:rPr>
            </w:r>
          </w:p>
        </w:tc>
        <w:tc>
          <w:tcPr>
            <w:tcW w:w="1129" w:type="dxa"/>
            <w:tcBorders>
              <w:top w:val="nil"/>
              <w:left w:val="nil"/>
              <w:bottom w:val="nil"/>
              <w:right w:val="nil"/>
            </w:tcBorders>
          </w:tcPr>
          <w:p>
            <w:pPr>
              <w:pStyle w:val="0"/>
            </w:pPr>
            <w:r>
              <w:rPr>
                <w:sz w:val="24"/>
              </w:rPr>
              <w:t xml:space="preserve">тыс. км</w:t>
            </w:r>
            <w:r>
              <w:rPr>
                <w:sz w:val="24"/>
                <w:vertAlign w:val="superscript"/>
              </w:rPr>
              <w:t xml:space="preserve">2</w:t>
            </w:r>
          </w:p>
        </w:tc>
      </w:tr>
    </w:tbl>
    <w:p>
      <w:pPr>
        <w:pStyle w:val="0"/>
        <w:jc w:val="both"/>
      </w:pPr>
      <w:r>
        <w:rPr>
          <w:sz w:val="24"/>
        </w:rPr>
      </w:r>
    </w:p>
    <w:p>
      <w:pPr>
        <w:pStyle w:val="1"/>
        <w:jc w:val="both"/>
      </w:pPr>
      <w:r>
        <w:rPr>
          <w:sz w:val="20"/>
        </w:rPr>
        <w:t xml:space="preserve">Телефон администрации: (_____) _________ факс: (_____)          E-mail: ___</w:t>
      </w:r>
    </w:p>
    <w:p>
      <w:pPr>
        <w:pStyle w:val="1"/>
        <w:jc w:val="both"/>
      </w:pPr>
      <w:r>
        <w:rPr>
          <w:sz w:val="20"/>
        </w:rPr>
        <w:t xml:space="preserve">                        (Код)   (Номер)         (Код)   (Номер)</w:t>
      </w:r>
    </w:p>
    <w:p>
      <w:pPr>
        <w:pStyle w:val="1"/>
        <w:jc w:val="both"/>
      </w:pPr>
      <w:r>
        <w:rPr>
          <w:sz w:val="20"/>
        </w:rPr>
        <w:t xml:space="preserve">         --------------------------------------------</w:t>
      </w:r>
    </w:p>
    <w:p>
      <w:pPr>
        <w:pStyle w:val="0"/>
        <w:jc w:val="both"/>
      </w:pPr>
      <w:r>
        <w:rPr>
          <w:sz w:val="24"/>
        </w:rPr>
      </w:r>
    </w:p>
    <w:tbl>
      <w:tblPr>
        <w:tblInd w:w="0" w:type="dxa"/>
        <w:tblLayout w:type="fixed"/>
        <w:tblCellMar>
          <w:top w:w="102" w:type="dxa"/>
          <w:left w:w="62" w:type="dxa"/>
          <w:bottom w:w="102" w:type="dxa"/>
          <w:right w:w="62" w:type="dxa"/>
        </w:tblCellMar>
      </w:tblPr>
      <w:tblGrid>
        <w:gridCol w:w="1148"/>
        <w:gridCol w:w="5726"/>
      </w:tblGrid>
      <w:tr>
        <w:tc>
          <w:tcPr>
            <w:tcW w:w="1148" w:type="dxa"/>
            <w:tcBorders>
              <w:top w:val="nil"/>
              <w:left w:val="nil"/>
              <w:bottom w:val="nil"/>
              <w:right w:val="nil"/>
            </w:tcBorders>
          </w:tcPr>
          <w:p>
            <w:pPr>
              <w:pStyle w:val="0"/>
            </w:pPr>
            <w:r>
              <w:rPr>
                <w:sz w:val="24"/>
              </w:rPr>
              <w:t xml:space="preserve">Вэб-сайт:</w:t>
            </w:r>
          </w:p>
        </w:tc>
        <w:tc>
          <w:tcPr>
            <w:tcW w:w="5726" w:type="dxa"/>
            <w:tcBorders>
              <w:top w:val="nil"/>
              <w:left w:val="nil"/>
              <w:bottom w:val="single" w:sz="4"/>
              <w:right w:val="nil"/>
            </w:tcBorders>
          </w:tcPr>
          <w:p>
            <w:pPr>
              <w:pStyle w:val="0"/>
            </w:pPr>
            <w:r>
              <w:rPr>
                <w:sz w:val="24"/>
              </w:rPr>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9071"/>
      </w:tblGrid>
      <w:tr>
        <w:tc>
          <w:tcPr>
            <w:tcW w:w="9071" w:type="dxa"/>
            <w:tcBorders>
              <w:top w:val="nil"/>
              <w:left w:val="nil"/>
              <w:bottom w:val="nil"/>
              <w:right w:val="nil"/>
            </w:tcBorders>
          </w:tcPr>
          <w:p>
            <w:pPr>
              <w:pStyle w:val="0"/>
              <w:outlineLvl w:val="1"/>
              <w:jc w:val="both"/>
            </w:pPr>
            <w:r>
              <w:rPr>
                <w:sz w:val="24"/>
              </w:rPr>
              <w:t xml:space="preserve">1. Перечень объектов, использующих источники ионизирующего излучения</w:t>
            </w:r>
          </w:p>
        </w:tc>
      </w:tr>
    </w:tbl>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42"/>
        <w:gridCol w:w="2438"/>
        <w:gridCol w:w="663"/>
        <w:gridCol w:w="663"/>
        <w:gridCol w:w="663"/>
        <w:gridCol w:w="663"/>
        <w:gridCol w:w="664"/>
        <w:gridCol w:w="918"/>
        <w:gridCol w:w="918"/>
        <w:gridCol w:w="919"/>
      </w:tblGrid>
      <w:tr>
        <w:tc>
          <w:tcPr>
            <w:tcW w:w="542" w:type="dxa"/>
            <w:vMerge w:val="restart"/>
          </w:tcPr>
          <w:bookmarkStart w:id="1109" w:name="P1109"/>
          <w:bookmarkEnd w:id="1109"/>
          <w:p>
            <w:pPr>
              <w:pStyle w:val="0"/>
              <w:jc w:val="center"/>
            </w:pPr>
            <w:r>
              <w:rPr>
                <w:sz w:val="24"/>
              </w:rPr>
              <w:t xml:space="preserve">N п/п</w:t>
            </w:r>
          </w:p>
        </w:tc>
        <w:tc>
          <w:tcPr>
            <w:tcW w:w="2438" w:type="dxa"/>
            <w:vMerge w:val="restart"/>
          </w:tcPr>
          <w:p>
            <w:pPr>
              <w:pStyle w:val="0"/>
              <w:jc w:val="center"/>
            </w:pPr>
            <w:r>
              <w:rPr>
                <w:sz w:val="24"/>
              </w:rPr>
              <w:t xml:space="preserve">Виды организаций</w:t>
            </w:r>
          </w:p>
        </w:tc>
        <w:tc>
          <w:tcPr>
            <w:gridSpan w:val="5"/>
            <w:tcW w:w="3316" w:type="dxa"/>
          </w:tcPr>
          <w:p>
            <w:pPr>
              <w:pStyle w:val="0"/>
              <w:jc w:val="center"/>
            </w:pPr>
            <w:r>
              <w:rPr>
                <w:sz w:val="24"/>
              </w:rPr>
              <w:t xml:space="preserve">Число организаций данного вида</w:t>
            </w:r>
          </w:p>
        </w:tc>
        <w:tc>
          <w:tcPr>
            <w:gridSpan w:val="3"/>
            <w:tcW w:w="2755" w:type="dxa"/>
            <w:vMerge w:val="restart"/>
          </w:tcPr>
          <w:p>
            <w:pPr>
              <w:pStyle w:val="0"/>
              <w:jc w:val="center"/>
            </w:pPr>
            <w:r>
              <w:rPr>
                <w:sz w:val="24"/>
              </w:rPr>
              <w:t xml:space="preserve">Численность персонала</w:t>
            </w:r>
          </w:p>
        </w:tc>
      </w:tr>
      <w:tr>
        <w:tc>
          <w:tcPr>
            <w:vMerge w:val="continue"/>
          </w:tcPr>
          <w:p/>
        </w:tc>
        <w:tc>
          <w:tcPr>
            <w:vMerge w:val="continue"/>
          </w:tcPr>
          <w:p/>
        </w:tc>
        <w:tc>
          <w:tcPr>
            <w:tcW w:w="663" w:type="dxa"/>
            <w:vMerge w:val="restart"/>
          </w:tcPr>
          <w:p>
            <w:pPr>
              <w:pStyle w:val="0"/>
              <w:jc w:val="center"/>
            </w:pPr>
            <w:r>
              <w:rPr>
                <w:sz w:val="24"/>
              </w:rPr>
              <w:t xml:space="preserve">Всего</w:t>
            </w:r>
          </w:p>
        </w:tc>
        <w:tc>
          <w:tcPr>
            <w:gridSpan w:val="4"/>
            <w:tcW w:w="2653" w:type="dxa"/>
          </w:tcPr>
          <w:p>
            <w:pPr>
              <w:pStyle w:val="0"/>
              <w:jc w:val="center"/>
            </w:pPr>
            <w:r>
              <w:rPr>
                <w:sz w:val="24"/>
              </w:rPr>
              <w:t xml:space="preserve">В том числе по категориям</w:t>
            </w:r>
          </w:p>
        </w:tc>
        <w:tc>
          <w:tcPr>
            <w:gridSpan w:val="3"/>
            <w:vMerge w:val="continue"/>
          </w:tcPr>
          <w:p/>
        </w:tc>
      </w:tr>
      <w:tr>
        <w:tc>
          <w:tcPr>
            <w:vMerge w:val="continue"/>
          </w:tcPr>
          <w:p/>
        </w:tc>
        <w:tc>
          <w:tcPr>
            <w:vMerge w:val="continue"/>
          </w:tcPr>
          <w:p/>
        </w:tc>
        <w:tc>
          <w:tcPr>
            <w:vMerge w:val="continue"/>
          </w:tcPr>
          <w:p/>
        </w:tc>
        <w:tc>
          <w:tcPr>
            <w:tcW w:w="663" w:type="dxa"/>
          </w:tcPr>
          <w:p>
            <w:pPr>
              <w:pStyle w:val="0"/>
              <w:jc w:val="center"/>
            </w:pPr>
            <w:r>
              <w:rPr>
                <w:sz w:val="24"/>
              </w:rPr>
              <w:t xml:space="preserve">I</w:t>
            </w:r>
          </w:p>
        </w:tc>
        <w:tc>
          <w:tcPr>
            <w:tcW w:w="663" w:type="dxa"/>
          </w:tcPr>
          <w:p>
            <w:pPr>
              <w:pStyle w:val="0"/>
              <w:jc w:val="center"/>
            </w:pPr>
            <w:r>
              <w:rPr>
                <w:sz w:val="24"/>
              </w:rPr>
              <w:t xml:space="preserve">II</w:t>
            </w:r>
          </w:p>
        </w:tc>
        <w:tc>
          <w:tcPr>
            <w:tcW w:w="663" w:type="dxa"/>
          </w:tcPr>
          <w:p>
            <w:pPr>
              <w:pStyle w:val="0"/>
              <w:jc w:val="center"/>
            </w:pPr>
            <w:r>
              <w:rPr>
                <w:sz w:val="24"/>
              </w:rPr>
              <w:t xml:space="preserve">III</w:t>
            </w:r>
          </w:p>
        </w:tc>
        <w:tc>
          <w:tcPr>
            <w:tcW w:w="664" w:type="dxa"/>
          </w:tcPr>
          <w:p>
            <w:pPr>
              <w:pStyle w:val="0"/>
              <w:jc w:val="center"/>
            </w:pPr>
            <w:r>
              <w:rPr>
                <w:sz w:val="24"/>
              </w:rPr>
              <w:t xml:space="preserve">IV</w:t>
            </w:r>
          </w:p>
        </w:tc>
        <w:tc>
          <w:tcPr>
            <w:tcW w:w="918" w:type="dxa"/>
          </w:tcPr>
          <w:p>
            <w:pPr>
              <w:pStyle w:val="0"/>
              <w:jc w:val="center"/>
            </w:pPr>
            <w:r>
              <w:rPr>
                <w:sz w:val="24"/>
              </w:rPr>
              <w:t xml:space="preserve">группы А</w:t>
            </w:r>
          </w:p>
        </w:tc>
        <w:tc>
          <w:tcPr>
            <w:tcW w:w="918" w:type="dxa"/>
          </w:tcPr>
          <w:p>
            <w:pPr>
              <w:pStyle w:val="0"/>
              <w:jc w:val="center"/>
            </w:pPr>
            <w:r>
              <w:rPr>
                <w:sz w:val="24"/>
              </w:rPr>
              <w:t xml:space="preserve">группы Б</w:t>
            </w:r>
          </w:p>
        </w:tc>
        <w:tc>
          <w:tcPr>
            <w:tcW w:w="919" w:type="dxa"/>
          </w:tcPr>
          <w:p>
            <w:pPr>
              <w:pStyle w:val="0"/>
              <w:jc w:val="center"/>
            </w:pPr>
            <w:r>
              <w:rPr>
                <w:sz w:val="24"/>
              </w:rPr>
              <w:t xml:space="preserve">всего</w:t>
            </w:r>
          </w:p>
        </w:tc>
      </w:tr>
      <w:tr>
        <w:tc>
          <w:tcPr>
            <w:tcW w:w="542" w:type="dxa"/>
          </w:tcPr>
          <w:p>
            <w:pPr>
              <w:pStyle w:val="0"/>
              <w:jc w:val="center"/>
            </w:pPr>
            <w:r>
              <w:rPr>
                <w:sz w:val="24"/>
              </w:rPr>
              <w:t xml:space="preserve">1</w:t>
            </w:r>
          </w:p>
        </w:tc>
        <w:tc>
          <w:tcPr>
            <w:tcW w:w="2438" w:type="dxa"/>
          </w:tcPr>
          <w:p>
            <w:pPr>
              <w:pStyle w:val="0"/>
            </w:pPr>
            <w:r>
              <w:rPr>
                <w:sz w:val="24"/>
              </w:rPr>
              <w:t xml:space="preserve">Атомные электростанции</w:t>
            </w:r>
          </w:p>
        </w:tc>
        <w:tc>
          <w:tcPr>
            <w:tcW w:w="663" w:type="dxa"/>
          </w:tcPr>
          <w:p>
            <w:pPr>
              <w:pStyle w:val="0"/>
            </w:pPr>
            <w:r>
              <w:rPr>
                <w:sz w:val="24"/>
              </w:rPr>
            </w:r>
          </w:p>
        </w:tc>
        <w:tc>
          <w:tcPr>
            <w:tcW w:w="663" w:type="dxa"/>
          </w:tcPr>
          <w:p>
            <w:pPr>
              <w:pStyle w:val="0"/>
            </w:pPr>
            <w:r>
              <w:rPr>
                <w:sz w:val="24"/>
              </w:rPr>
            </w:r>
          </w:p>
        </w:tc>
        <w:tc>
          <w:tcPr>
            <w:tcW w:w="663" w:type="dxa"/>
          </w:tcPr>
          <w:p>
            <w:pPr>
              <w:pStyle w:val="0"/>
            </w:pPr>
            <w:r>
              <w:rPr>
                <w:sz w:val="24"/>
              </w:rPr>
            </w:r>
          </w:p>
        </w:tc>
        <w:tc>
          <w:tcPr>
            <w:tcW w:w="663" w:type="dxa"/>
          </w:tcPr>
          <w:p>
            <w:pPr>
              <w:pStyle w:val="0"/>
            </w:pPr>
            <w:r>
              <w:rPr>
                <w:sz w:val="24"/>
              </w:rPr>
            </w:r>
          </w:p>
        </w:tc>
        <w:tc>
          <w:tcPr>
            <w:tcW w:w="664" w:type="dxa"/>
          </w:tcPr>
          <w:p>
            <w:pPr>
              <w:pStyle w:val="0"/>
            </w:pPr>
            <w:r>
              <w:rPr>
                <w:sz w:val="24"/>
              </w:rPr>
            </w:r>
          </w:p>
        </w:tc>
        <w:tc>
          <w:tcPr>
            <w:tcW w:w="918" w:type="dxa"/>
          </w:tcPr>
          <w:p>
            <w:pPr>
              <w:pStyle w:val="0"/>
            </w:pPr>
            <w:r>
              <w:rPr>
                <w:sz w:val="24"/>
              </w:rPr>
            </w:r>
          </w:p>
        </w:tc>
        <w:tc>
          <w:tcPr>
            <w:tcW w:w="918" w:type="dxa"/>
          </w:tcPr>
          <w:p>
            <w:pPr>
              <w:pStyle w:val="0"/>
            </w:pPr>
            <w:r>
              <w:rPr>
                <w:sz w:val="24"/>
              </w:rPr>
            </w:r>
          </w:p>
        </w:tc>
        <w:tc>
          <w:tcPr>
            <w:tcW w:w="919" w:type="dxa"/>
          </w:tcPr>
          <w:p>
            <w:pPr>
              <w:pStyle w:val="0"/>
            </w:pPr>
            <w:r>
              <w:rPr>
                <w:sz w:val="24"/>
              </w:rPr>
            </w:r>
          </w:p>
        </w:tc>
      </w:tr>
      <w:tr>
        <w:tc>
          <w:tcPr>
            <w:tcW w:w="542" w:type="dxa"/>
          </w:tcPr>
          <w:p>
            <w:pPr>
              <w:pStyle w:val="0"/>
              <w:jc w:val="center"/>
            </w:pPr>
            <w:r>
              <w:rPr>
                <w:sz w:val="24"/>
              </w:rPr>
              <w:t xml:space="preserve">2</w:t>
            </w:r>
          </w:p>
        </w:tc>
        <w:tc>
          <w:tcPr>
            <w:tcW w:w="2438" w:type="dxa"/>
          </w:tcPr>
          <w:p>
            <w:pPr>
              <w:pStyle w:val="0"/>
            </w:pPr>
            <w:r>
              <w:rPr>
                <w:sz w:val="24"/>
              </w:rPr>
              <w:t xml:space="preserve">Геологоразведочные и добывающие</w:t>
            </w:r>
          </w:p>
        </w:tc>
        <w:tc>
          <w:tcPr>
            <w:tcW w:w="663" w:type="dxa"/>
          </w:tcPr>
          <w:p>
            <w:pPr>
              <w:pStyle w:val="0"/>
            </w:pPr>
            <w:r>
              <w:rPr>
                <w:sz w:val="24"/>
              </w:rPr>
            </w:r>
          </w:p>
        </w:tc>
        <w:tc>
          <w:tcPr>
            <w:tcW w:w="663" w:type="dxa"/>
          </w:tcPr>
          <w:p>
            <w:pPr>
              <w:pStyle w:val="0"/>
            </w:pPr>
            <w:r>
              <w:rPr>
                <w:sz w:val="24"/>
              </w:rPr>
            </w:r>
          </w:p>
        </w:tc>
        <w:tc>
          <w:tcPr>
            <w:tcW w:w="663" w:type="dxa"/>
          </w:tcPr>
          <w:p>
            <w:pPr>
              <w:pStyle w:val="0"/>
            </w:pPr>
            <w:r>
              <w:rPr>
                <w:sz w:val="24"/>
              </w:rPr>
            </w:r>
          </w:p>
        </w:tc>
        <w:tc>
          <w:tcPr>
            <w:tcW w:w="663" w:type="dxa"/>
          </w:tcPr>
          <w:p>
            <w:pPr>
              <w:pStyle w:val="0"/>
            </w:pPr>
            <w:r>
              <w:rPr>
                <w:sz w:val="24"/>
              </w:rPr>
            </w:r>
          </w:p>
        </w:tc>
        <w:tc>
          <w:tcPr>
            <w:tcW w:w="664" w:type="dxa"/>
          </w:tcPr>
          <w:p>
            <w:pPr>
              <w:pStyle w:val="0"/>
            </w:pPr>
            <w:r>
              <w:rPr>
                <w:sz w:val="24"/>
              </w:rPr>
            </w:r>
          </w:p>
        </w:tc>
        <w:tc>
          <w:tcPr>
            <w:tcW w:w="918" w:type="dxa"/>
          </w:tcPr>
          <w:p>
            <w:pPr>
              <w:pStyle w:val="0"/>
            </w:pPr>
            <w:r>
              <w:rPr>
                <w:sz w:val="24"/>
              </w:rPr>
            </w:r>
          </w:p>
        </w:tc>
        <w:tc>
          <w:tcPr>
            <w:tcW w:w="918" w:type="dxa"/>
          </w:tcPr>
          <w:p>
            <w:pPr>
              <w:pStyle w:val="0"/>
            </w:pPr>
            <w:r>
              <w:rPr>
                <w:sz w:val="24"/>
              </w:rPr>
            </w:r>
          </w:p>
        </w:tc>
        <w:tc>
          <w:tcPr>
            <w:tcW w:w="919" w:type="dxa"/>
          </w:tcPr>
          <w:p>
            <w:pPr>
              <w:pStyle w:val="0"/>
            </w:pPr>
            <w:r>
              <w:rPr>
                <w:sz w:val="24"/>
              </w:rPr>
            </w:r>
          </w:p>
        </w:tc>
      </w:tr>
      <w:tr>
        <w:tc>
          <w:tcPr>
            <w:tcW w:w="542" w:type="dxa"/>
          </w:tcPr>
          <w:p>
            <w:pPr>
              <w:pStyle w:val="0"/>
              <w:jc w:val="center"/>
            </w:pPr>
            <w:r>
              <w:rPr>
                <w:sz w:val="24"/>
              </w:rPr>
              <w:t xml:space="preserve">3</w:t>
            </w:r>
          </w:p>
        </w:tc>
        <w:tc>
          <w:tcPr>
            <w:tcW w:w="2438" w:type="dxa"/>
          </w:tcPr>
          <w:p>
            <w:pPr>
              <w:pStyle w:val="0"/>
            </w:pPr>
            <w:r>
              <w:rPr>
                <w:sz w:val="24"/>
              </w:rPr>
              <w:t xml:space="preserve">Медучреждения</w:t>
            </w:r>
          </w:p>
        </w:tc>
        <w:tc>
          <w:tcPr>
            <w:tcW w:w="663" w:type="dxa"/>
          </w:tcPr>
          <w:p>
            <w:pPr>
              <w:pStyle w:val="0"/>
            </w:pPr>
            <w:r>
              <w:rPr>
                <w:sz w:val="24"/>
              </w:rPr>
            </w:r>
          </w:p>
        </w:tc>
        <w:tc>
          <w:tcPr>
            <w:tcW w:w="663" w:type="dxa"/>
          </w:tcPr>
          <w:p>
            <w:pPr>
              <w:pStyle w:val="0"/>
            </w:pPr>
            <w:r>
              <w:rPr>
                <w:sz w:val="24"/>
              </w:rPr>
            </w:r>
          </w:p>
        </w:tc>
        <w:tc>
          <w:tcPr>
            <w:tcW w:w="663" w:type="dxa"/>
          </w:tcPr>
          <w:p>
            <w:pPr>
              <w:pStyle w:val="0"/>
            </w:pPr>
            <w:r>
              <w:rPr>
                <w:sz w:val="24"/>
              </w:rPr>
            </w:r>
          </w:p>
        </w:tc>
        <w:tc>
          <w:tcPr>
            <w:tcW w:w="663" w:type="dxa"/>
          </w:tcPr>
          <w:p>
            <w:pPr>
              <w:pStyle w:val="0"/>
            </w:pPr>
            <w:r>
              <w:rPr>
                <w:sz w:val="24"/>
              </w:rPr>
            </w:r>
          </w:p>
        </w:tc>
        <w:tc>
          <w:tcPr>
            <w:tcW w:w="664" w:type="dxa"/>
          </w:tcPr>
          <w:p>
            <w:pPr>
              <w:pStyle w:val="0"/>
            </w:pPr>
            <w:r>
              <w:rPr>
                <w:sz w:val="24"/>
              </w:rPr>
            </w:r>
          </w:p>
        </w:tc>
        <w:tc>
          <w:tcPr>
            <w:tcW w:w="918" w:type="dxa"/>
          </w:tcPr>
          <w:p>
            <w:pPr>
              <w:pStyle w:val="0"/>
            </w:pPr>
            <w:r>
              <w:rPr>
                <w:sz w:val="24"/>
              </w:rPr>
            </w:r>
          </w:p>
        </w:tc>
        <w:tc>
          <w:tcPr>
            <w:tcW w:w="918" w:type="dxa"/>
          </w:tcPr>
          <w:p>
            <w:pPr>
              <w:pStyle w:val="0"/>
            </w:pPr>
            <w:r>
              <w:rPr>
                <w:sz w:val="24"/>
              </w:rPr>
            </w:r>
          </w:p>
        </w:tc>
        <w:tc>
          <w:tcPr>
            <w:tcW w:w="919" w:type="dxa"/>
          </w:tcPr>
          <w:p>
            <w:pPr>
              <w:pStyle w:val="0"/>
            </w:pPr>
            <w:r>
              <w:rPr>
                <w:sz w:val="24"/>
              </w:rPr>
            </w:r>
          </w:p>
        </w:tc>
      </w:tr>
      <w:tr>
        <w:tc>
          <w:tcPr>
            <w:tcW w:w="542" w:type="dxa"/>
          </w:tcPr>
          <w:p>
            <w:pPr>
              <w:pStyle w:val="0"/>
              <w:jc w:val="center"/>
            </w:pPr>
            <w:r>
              <w:rPr>
                <w:sz w:val="24"/>
              </w:rPr>
              <w:t xml:space="preserve">4</w:t>
            </w:r>
          </w:p>
        </w:tc>
        <w:tc>
          <w:tcPr>
            <w:tcW w:w="2438" w:type="dxa"/>
          </w:tcPr>
          <w:p>
            <w:pPr>
              <w:pStyle w:val="0"/>
            </w:pPr>
            <w:r>
              <w:rPr>
                <w:sz w:val="24"/>
              </w:rPr>
              <w:t xml:space="preserve">Научные и учебные</w:t>
            </w:r>
          </w:p>
        </w:tc>
        <w:tc>
          <w:tcPr>
            <w:tcW w:w="663" w:type="dxa"/>
          </w:tcPr>
          <w:p>
            <w:pPr>
              <w:pStyle w:val="0"/>
            </w:pPr>
            <w:r>
              <w:rPr>
                <w:sz w:val="24"/>
              </w:rPr>
            </w:r>
          </w:p>
        </w:tc>
        <w:tc>
          <w:tcPr>
            <w:tcW w:w="663" w:type="dxa"/>
          </w:tcPr>
          <w:p>
            <w:pPr>
              <w:pStyle w:val="0"/>
            </w:pPr>
            <w:r>
              <w:rPr>
                <w:sz w:val="24"/>
              </w:rPr>
            </w:r>
          </w:p>
        </w:tc>
        <w:tc>
          <w:tcPr>
            <w:tcW w:w="663" w:type="dxa"/>
          </w:tcPr>
          <w:p>
            <w:pPr>
              <w:pStyle w:val="0"/>
            </w:pPr>
            <w:r>
              <w:rPr>
                <w:sz w:val="24"/>
              </w:rPr>
            </w:r>
          </w:p>
        </w:tc>
        <w:tc>
          <w:tcPr>
            <w:tcW w:w="663" w:type="dxa"/>
          </w:tcPr>
          <w:p>
            <w:pPr>
              <w:pStyle w:val="0"/>
            </w:pPr>
            <w:r>
              <w:rPr>
                <w:sz w:val="24"/>
              </w:rPr>
            </w:r>
          </w:p>
        </w:tc>
        <w:tc>
          <w:tcPr>
            <w:tcW w:w="664" w:type="dxa"/>
          </w:tcPr>
          <w:p>
            <w:pPr>
              <w:pStyle w:val="0"/>
            </w:pPr>
            <w:r>
              <w:rPr>
                <w:sz w:val="24"/>
              </w:rPr>
            </w:r>
          </w:p>
        </w:tc>
        <w:tc>
          <w:tcPr>
            <w:tcW w:w="918" w:type="dxa"/>
          </w:tcPr>
          <w:p>
            <w:pPr>
              <w:pStyle w:val="0"/>
            </w:pPr>
            <w:r>
              <w:rPr>
                <w:sz w:val="24"/>
              </w:rPr>
            </w:r>
          </w:p>
        </w:tc>
        <w:tc>
          <w:tcPr>
            <w:tcW w:w="918" w:type="dxa"/>
          </w:tcPr>
          <w:p>
            <w:pPr>
              <w:pStyle w:val="0"/>
            </w:pPr>
            <w:r>
              <w:rPr>
                <w:sz w:val="24"/>
              </w:rPr>
            </w:r>
          </w:p>
        </w:tc>
        <w:tc>
          <w:tcPr>
            <w:tcW w:w="919" w:type="dxa"/>
          </w:tcPr>
          <w:p>
            <w:pPr>
              <w:pStyle w:val="0"/>
            </w:pPr>
            <w:r>
              <w:rPr>
                <w:sz w:val="24"/>
              </w:rPr>
            </w:r>
          </w:p>
        </w:tc>
      </w:tr>
      <w:tr>
        <w:tc>
          <w:tcPr>
            <w:tcW w:w="542" w:type="dxa"/>
          </w:tcPr>
          <w:p>
            <w:pPr>
              <w:pStyle w:val="0"/>
              <w:jc w:val="center"/>
            </w:pPr>
            <w:r>
              <w:rPr>
                <w:sz w:val="24"/>
              </w:rPr>
              <w:t xml:space="preserve">5</w:t>
            </w:r>
          </w:p>
        </w:tc>
        <w:tc>
          <w:tcPr>
            <w:tcW w:w="2438" w:type="dxa"/>
          </w:tcPr>
          <w:p>
            <w:pPr>
              <w:pStyle w:val="0"/>
            </w:pPr>
            <w:r>
              <w:rPr>
                <w:sz w:val="24"/>
              </w:rPr>
              <w:t xml:space="preserve">Промышленные</w:t>
            </w:r>
          </w:p>
        </w:tc>
        <w:tc>
          <w:tcPr>
            <w:tcW w:w="663" w:type="dxa"/>
          </w:tcPr>
          <w:p>
            <w:pPr>
              <w:pStyle w:val="0"/>
            </w:pPr>
            <w:r>
              <w:rPr>
                <w:sz w:val="24"/>
              </w:rPr>
            </w:r>
          </w:p>
        </w:tc>
        <w:tc>
          <w:tcPr>
            <w:tcW w:w="663" w:type="dxa"/>
          </w:tcPr>
          <w:p>
            <w:pPr>
              <w:pStyle w:val="0"/>
            </w:pPr>
            <w:r>
              <w:rPr>
                <w:sz w:val="24"/>
              </w:rPr>
            </w:r>
          </w:p>
        </w:tc>
        <w:tc>
          <w:tcPr>
            <w:tcW w:w="663" w:type="dxa"/>
          </w:tcPr>
          <w:p>
            <w:pPr>
              <w:pStyle w:val="0"/>
            </w:pPr>
            <w:r>
              <w:rPr>
                <w:sz w:val="24"/>
              </w:rPr>
            </w:r>
          </w:p>
        </w:tc>
        <w:tc>
          <w:tcPr>
            <w:tcW w:w="663" w:type="dxa"/>
          </w:tcPr>
          <w:p>
            <w:pPr>
              <w:pStyle w:val="0"/>
            </w:pPr>
            <w:r>
              <w:rPr>
                <w:sz w:val="24"/>
              </w:rPr>
            </w:r>
          </w:p>
        </w:tc>
        <w:tc>
          <w:tcPr>
            <w:tcW w:w="664" w:type="dxa"/>
          </w:tcPr>
          <w:p>
            <w:pPr>
              <w:pStyle w:val="0"/>
            </w:pPr>
            <w:r>
              <w:rPr>
                <w:sz w:val="24"/>
              </w:rPr>
            </w:r>
          </w:p>
        </w:tc>
        <w:tc>
          <w:tcPr>
            <w:tcW w:w="918" w:type="dxa"/>
          </w:tcPr>
          <w:p>
            <w:pPr>
              <w:pStyle w:val="0"/>
            </w:pPr>
            <w:r>
              <w:rPr>
                <w:sz w:val="24"/>
              </w:rPr>
            </w:r>
          </w:p>
        </w:tc>
        <w:tc>
          <w:tcPr>
            <w:tcW w:w="918" w:type="dxa"/>
          </w:tcPr>
          <w:p>
            <w:pPr>
              <w:pStyle w:val="0"/>
            </w:pPr>
            <w:r>
              <w:rPr>
                <w:sz w:val="24"/>
              </w:rPr>
            </w:r>
          </w:p>
        </w:tc>
        <w:tc>
          <w:tcPr>
            <w:tcW w:w="919" w:type="dxa"/>
          </w:tcPr>
          <w:p>
            <w:pPr>
              <w:pStyle w:val="0"/>
            </w:pPr>
            <w:r>
              <w:rPr>
                <w:sz w:val="24"/>
              </w:rPr>
            </w:r>
          </w:p>
        </w:tc>
      </w:tr>
      <w:tr>
        <w:tc>
          <w:tcPr>
            <w:tcW w:w="542" w:type="dxa"/>
          </w:tcPr>
          <w:p>
            <w:pPr>
              <w:pStyle w:val="0"/>
              <w:jc w:val="center"/>
            </w:pPr>
            <w:r>
              <w:rPr>
                <w:sz w:val="24"/>
              </w:rPr>
              <w:t xml:space="preserve">6</w:t>
            </w:r>
          </w:p>
        </w:tc>
        <w:tc>
          <w:tcPr>
            <w:tcW w:w="2438" w:type="dxa"/>
          </w:tcPr>
          <w:p>
            <w:pPr>
              <w:pStyle w:val="0"/>
            </w:pPr>
            <w:r>
              <w:rPr>
                <w:sz w:val="24"/>
              </w:rPr>
              <w:t xml:space="preserve">Таможенные</w:t>
            </w:r>
          </w:p>
        </w:tc>
        <w:tc>
          <w:tcPr>
            <w:tcW w:w="663" w:type="dxa"/>
          </w:tcPr>
          <w:p>
            <w:pPr>
              <w:pStyle w:val="0"/>
            </w:pPr>
            <w:r>
              <w:rPr>
                <w:sz w:val="24"/>
              </w:rPr>
            </w:r>
          </w:p>
        </w:tc>
        <w:tc>
          <w:tcPr>
            <w:tcW w:w="663" w:type="dxa"/>
          </w:tcPr>
          <w:p>
            <w:pPr>
              <w:pStyle w:val="0"/>
            </w:pPr>
            <w:r>
              <w:rPr>
                <w:sz w:val="24"/>
              </w:rPr>
            </w:r>
          </w:p>
        </w:tc>
        <w:tc>
          <w:tcPr>
            <w:tcW w:w="663" w:type="dxa"/>
          </w:tcPr>
          <w:p>
            <w:pPr>
              <w:pStyle w:val="0"/>
            </w:pPr>
            <w:r>
              <w:rPr>
                <w:sz w:val="24"/>
              </w:rPr>
            </w:r>
          </w:p>
        </w:tc>
        <w:tc>
          <w:tcPr>
            <w:tcW w:w="663" w:type="dxa"/>
          </w:tcPr>
          <w:p>
            <w:pPr>
              <w:pStyle w:val="0"/>
            </w:pPr>
            <w:r>
              <w:rPr>
                <w:sz w:val="24"/>
              </w:rPr>
            </w:r>
          </w:p>
        </w:tc>
        <w:tc>
          <w:tcPr>
            <w:tcW w:w="664" w:type="dxa"/>
          </w:tcPr>
          <w:p>
            <w:pPr>
              <w:pStyle w:val="0"/>
            </w:pPr>
            <w:r>
              <w:rPr>
                <w:sz w:val="24"/>
              </w:rPr>
            </w:r>
          </w:p>
        </w:tc>
        <w:tc>
          <w:tcPr>
            <w:tcW w:w="918" w:type="dxa"/>
          </w:tcPr>
          <w:p>
            <w:pPr>
              <w:pStyle w:val="0"/>
            </w:pPr>
            <w:r>
              <w:rPr>
                <w:sz w:val="24"/>
              </w:rPr>
            </w:r>
          </w:p>
        </w:tc>
        <w:tc>
          <w:tcPr>
            <w:tcW w:w="918" w:type="dxa"/>
          </w:tcPr>
          <w:p>
            <w:pPr>
              <w:pStyle w:val="0"/>
            </w:pPr>
            <w:r>
              <w:rPr>
                <w:sz w:val="24"/>
              </w:rPr>
            </w:r>
          </w:p>
        </w:tc>
        <w:tc>
          <w:tcPr>
            <w:tcW w:w="919" w:type="dxa"/>
          </w:tcPr>
          <w:p>
            <w:pPr>
              <w:pStyle w:val="0"/>
            </w:pPr>
            <w:r>
              <w:rPr>
                <w:sz w:val="24"/>
              </w:rPr>
            </w:r>
          </w:p>
        </w:tc>
      </w:tr>
      <w:tr>
        <w:tc>
          <w:tcPr>
            <w:tcW w:w="542" w:type="dxa"/>
          </w:tcPr>
          <w:p>
            <w:pPr>
              <w:pStyle w:val="0"/>
              <w:jc w:val="center"/>
            </w:pPr>
            <w:r>
              <w:rPr>
                <w:sz w:val="24"/>
              </w:rPr>
              <w:t xml:space="preserve">7</w:t>
            </w:r>
          </w:p>
        </w:tc>
        <w:tc>
          <w:tcPr>
            <w:tcW w:w="2438" w:type="dxa"/>
          </w:tcPr>
          <w:p>
            <w:pPr>
              <w:pStyle w:val="0"/>
            </w:pPr>
            <w:r>
              <w:rPr>
                <w:sz w:val="24"/>
              </w:rPr>
              <w:t xml:space="preserve">Пункты захоронения РАО</w:t>
            </w:r>
          </w:p>
        </w:tc>
        <w:tc>
          <w:tcPr>
            <w:tcW w:w="663" w:type="dxa"/>
          </w:tcPr>
          <w:p>
            <w:pPr>
              <w:pStyle w:val="0"/>
            </w:pPr>
            <w:r>
              <w:rPr>
                <w:sz w:val="24"/>
              </w:rPr>
            </w:r>
          </w:p>
        </w:tc>
        <w:tc>
          <w:tcPr>
            <w:tcW w:w="663" w:type="dxa"/>
          </w:tcPr>
          <w:p>
            <w:pPr>
              <w:pStyle w:val="0"/>
            </w:pPr>
            <w:r>
              <w:rPr>
                <w:sz w:val="24"/>
              </w:rPr>
            </w:r>
          </w:p>
        </w:tc>
        <w:tc>
          <w:tcPr>
            <w:tcW w:w="663" w:type="dxa"/>
          </w:tcPr>
          <w:p>
            <w:pPr>
              <w:pStyle w:val="0"/>
            </w:pPr>
            <w:r>
              <w:rPr>
                <w:sz w:val="24"/>
              </w:rPr>
            </w:r>
          </w:p>
        </w:tc>
        <w:tc>
          <w:tcPr>
            <w:tcW w:w="663" w:type="dxa"/>
          </w:tcPr>
          <w:p>
            <w:pPr>
              <w:pStyle w:val="0"/>
            </w:pPr>
            <w:r>
              <w:rPr>
                <w:sz w:val="24"/>
              </w:rPr>
            </w:r>
          </w:p>
        </w:tc>
        <w:tc>
          <w:tcPr>
            <w:tcW w:w="664" w:type="dxa"/>
          </w:tcPr>
          <w:p>
            <w:pPr>
              <w:pStyle w:val="0"/>
            </w:pPr>
            <w:r>
              <w:rPr>
                <w:sz w:val="24"/>
              </w:rPr>
            </w:r>
          </w:p>
        </w:tc>
        <w:tc>
          <w:tcPr>
            <w:tcW w:w="918" w:type="dxa"/>
          </w:tcPr>
          <w:p>
            <w:pPr>
              <w:pStyle w:val="0"/>
            </w:pPr>
            <w:r>
              <w:rPr>
                <w:sz w:val="24"/>
              </w:rPr>
            </w:r>
          </w:p>
        </w:tc>
        <w:tc>
          <w:tcPr>
            <w:tcW w:w="918" w:type="dxa"/>
          </w:tcPr>
          <w:p>
            <w:pPr>
              <w:pStyle w:val="0"/>
            </w:pPr>
            <w:r>
              <w:rPr>
                <w:sz w:val="24"/>
              </w:rPr>
            </w:r>
          </w:p>
        </w:tc>
        <w:tc>
          <w:tcPr>
            <w:tcW w:w="919" w:type="dxa"/>
          </w:tcPr>
          <w:p>
            <w:pPr>
              <w:pStyle w:val="0"/>
            </w:pPr>
            <w:r>
              <w:rPr>
                <w:sz w:val="24"/>
              </w:rPr>
            </w:r>
          </w:p>
        </w:tc>
      </w:tr>
      <w:tr>
        <w:tc>
          <w:tcPr>
            <w:tcW w:w="542" w:type="dxa"/>
          </w:tcPr>
          <w:p>
            <w:pPr>
              <w:pStyle w:val="0"/>
              <w:jc w:val="center"/>
            </w:pPr>
            <w:r>
              <w:rPr>
                <w:sz w:val="24"/>
              </w:rPr>
              <w:t xml:space="preserve">8</w:t>
            </w:r>
          </w:p>
        </w:tc>
        <w:tc>
          <w:tcPr>
            <w:tcW w:w="2438" w:type="dxa"/>
          </w:tcPr>
          <w:p>
            <w:pPr>
              <w:pStyle w:val="0"/>
            </w:pPr>
            <w:r>
              <w:rPr>
                <w:sz w:val="24"/>
              </w:rPr>
              <w:t xml:space="preserve">Прочие особо радиационно-опасные</w:t>
            </w:r>
          </w:p>
        </w:tc>
        <w:tc>
          <w:tcPr>
            <w:tcW w:w="663" w:type="dxa"/>
          </w:tcPr>
          <w:p>
            <w:pPr>
              <w:pStyle w:val="0"/>
            </w:pPr>
            <w:r>
              <w:rPr>
                <w:sz w:val="24"/>
              </w:rPr>
            </w:r>
          </w:p>
        </w:tc>
        <w:tc>
          <w:tcPr>
            <w:tcW w:w="663" w:type="dxa"/>
          </w:tcPr>
          <w:p>
            <w:pPr>
              <w:pStyle w:val="0"/>
            </w:pPr>
            <w:r>
              <w:rPr>
                <w:sz w:val="24"/>
              </w:rPr>
            </w:r>
          </w:p>
        </w:tc>
        <w:tc>
          <w:tcPr>
            <w:tcW w:w="663" w:type="dxa"/>
          </w:tcPr>
          <w:p>
            <w:pPr>
              <w:pStyle w:val="0"/>
            </w:pPr>
            <w:r>
              <w:rPr>
                <w:sz w:val="24"/>
              </w:rPr>
            </w:r>
          </w:p>
        </w:tc>
        <w:tc>
          <w:tcPr>
            <w:tcW w:w="663" w:type="dxa"/>
          </w:tcPr>
          <w:p>
            <w:pPr>
              <w:pStyle w:val="0"/>
            </w:pPr>
            <w:r>
              <w:rPr>
                <w:sz w:val="24"/>
              </w:rPr>
            </w:r>
          </w:p>
        </w:tc>
        <w:tc>
          <w:tcPr>
            <w:tcW w:w="664" w:type="dxa"/>
          </w:tcPr>
          <w:p>
            <w:pPr>
              <w:pStyle w:val="0"/>
            </w:pPr>
            <w:r>
              <w:rPr>
                <w:sz w:val="24"/>
              </w:rPr>
            </w:r>
          </w:p>
        </w:tc>
        <w:tc>
          <w:tcPr>
            <w:tcW w:w="918" w:type="dxa"/>
          </w:tcPr>
          <w:p>
            <w:pPr>
              <w:pStyle w:val="0"/>
            </w:pPr>
            <w:r>
              <w:rPr>
                <w:sz w:val="24"/>
              </w:rPr>
            </w:r>
          </w:p>
        </w:tc>
        <w:tc>
          <w:tcPr>
            <w:tcW w:w="918" w:type="dxa"/>
          </w:tcPr>
          <w:p>
            <w:pPr>
              <w:pStyle w:val="0"/>
            </w:pPr>
            <w:r>
              <w:rPr>
                <w:sz w:val="24"/>
              </w:rPr>
            </w:r>
          </w:p>
        </w:tc>
        <w:tc>
          <w:tcPr>
            <w:tcW w:w="919" w:type="dxa"/>
          </w:tcPr>
          <w:p>
            <w:pPr>
              <w:pStyle w:val="0"/>
            </w:pPr>
            <w:r>
              <w:rPr>
                <w:sz w:val="24"/>
              </w:rPr>
            </w:r>
          </w:p>
        </w:tc>
      </w:tr>
      <w:tr>
        <w:tc>
          <w:tcPr>
            <w:tcW w:w="542" w:type="dxa"/>
          </w:tcPr>
          <w:p>
            <w:pPr>
              <w:pStyle w:val="0"/>
              <w:jc w:val="center"/>
            </w:pPr>
            <w:r>
              <w:rPr>
                <w:sz w:val="24"/>
              </w:rPr>
              <w:t xml:space="preserve">9</w:t>
            </w:r>
          </w:p>
        </w:tc>
        <w:tc>
          <w:tcPr>
            <w:tcW w:w="2438" w:type="dxa"/>
          </w:tcPr>
          <w:p>
            <w:pPr>
              <w:pStyle w:val="0"/>
            </w:pPr>
            <w:r>
              <w:rPr>
                <w:sz w:val="24"/>
              </w:rPr>
              <w:t xml:space="preserve">Прочие</w:t>
            </w:r>
          </w:p>
        </w:tc>
        <w:tc>
          <w:tcPr>
            <w:tcW w:w="663" w:type="dxa"/>
          </w:tcPr>
          <w:p>
            <w:pPr>
              <w:pStyle w:val="0"/>
            </w:pPr>
            <w:r>
              <w:rPr>
                <w:sz w:val="24"/>
              </w:rPr>
            </w:r>
          </w:p>
        </w:tc>
        <w:tc>
          <w:tcPr>
            <w:tcW w:w="663" w:type="dxa"/>
          </w:tcPr>
          <w:p>
            <w:pPr>
              <w:pStyle w:val="0"/>
            </w:pPr>
            <w:r>
              <w:rPr>
                <w:sz w:val="24"/>
              </w:rPr>
            </w:r>
          </w:p>
        </w:tc>
        <w:tc>
          <w:tcPr>
            <w:tcW w:w="663" w:type="dxa"/>
          </w:tcPr>
          <w:p>
            <w:pPr>
              <w:pStyle w:val="0"/>
            </w:pPr>
            <w:r>
              <w:rPr>
                <w:sz w:val="24"/>
              </w:rPr>
            </w:r>
          </w:p>
        </w:tc>
        <w:tc>
          <w:tcPr>
            <w:tcW w:w="663" w:type="dxa"/>
          </w:tcPr>
          <w:p>
            <w:pPr>
              <w:pStyle w:val="0"/>
            </w:pPr>
            <w:r>
              <w:rPr>
                <w:sz w:val="24"/>
              </w:rPr>
            </w:r>
          </w:p>
        </w:tc>
        <w:tc>
          <w:tcPr>
            <w:tcW w:w="664" w:type="dxa"/>
          </w:tcPr>
          <w:p>
            <w:pPr>
              <w:pStyle w:val="0"/>
            </w:pPr>
            <w:r>
              <w:rPr>
                <w:sz w:val="24"/>
              </w:rPr>
            </w:r>
          </w:p>
        </w:tc>
        <w:tc>
          <w:tcPr>
            <w:tcW w:w="918" w:type="dxa"/>
          </w:tcPr>
          <w:p>
            <w:pPr>
              <w:pStyle w:val="0"/>
            </w:pPr>
            <w:r>
              <w:rPr>
                <w:sz w:val="24"/>
              </w:rPr>
            </w:r>
          </w:p>
        </w:tc>
        <w:tc>
          <w:tcPr>
            <w:tcW w:w="918" w:type="dxa"/>
          </w:tcPr>
          <w:p>
            <w:pPr>
              <w:pStyle w:val="0"/>
            </w:pPr>
            <w:r>
              <w:rPr>
                <w:sz w:val="24"/>
              </w:rPr>
            </w:r>
          </w:p>
        </w:tc>
        <w:tc>
          <w:tcPr>
            <w:tcW w:w="919" w:type="dxa"/>
          </w:tcPr>
          <w:p>
            <w:pPr>
              <w:pStyle w:val="0"/>
            </w:pPr>
            <w:r>
              <w:rPr>
                <w:sz w:val="24"/>
              </w:rPr>
            </w:r>
          </w:p>
        </w:tc>
      </w:tr>
      <w:tr>
        <w:tc>
          <w:tcPr>
            <w:tcW w:w="542" w:type="dxa"/>
          </w:tcPr>
          <w:p>
            <w:pPr>
              <w:pStyle w:val="0"/>
            </w:pPr>
            <w:r>
              <w:rPr>
                <w:sz w:val="24"/>
              </w:rPr>
            </w:r>
          </w:p>
        </w:tc>
        <w:tc>
          <w:tcPr>
            <w:tcW w:w="2438" w:type="dxa"/>
          </w:tcPr>
          <w:p>
            <w:pPr>
              <w:pStyle w:val="0"/>
              <w:jc w:val="center"/>
            </w:pPr>
            <w:r>
              <w:rPr>
                <w:sz w:val="24"/>
              </w:rPr>
              <w:t xml:space="preserve">ВСЕГО</w:t>
            </w:r>
          </w:p>
        </w:tc>
        <w:tc>
          <w:tcPr>
            <w:tcW w:w="663" w:type="dxa"/>
          </w:tcPr>
          <w:p>
            <w:pPr>
              <w:pStyle w:val="0"/>
            </w:pPr>
            <w:r>
              <w:rPr>
                <w:sz w:val="24"/>
              </w:rPr>
            </w:r>
          </w:p>
        </w:tc>
        <w:tc>
          <w:tcPr>
            <w:tcW w:w="663" w:type="dxa"/>
          </w:tcPr>
          <w:p>
            <w:pPr>
              <w:pStyle w:val="0"/>
            </w:pPr>
            <w:r>
              <w:rPr>
                <w:sz w:val="24"/>
              </w:rPr>
            </w:r>
          </w:p>
        </w:tc>
        <w:tc>
          <w:tcPr>
            <w:tcW w:w="663" w:type="dxa"/>
          </w:tcPr>
          <w:p>
            <w:pPr>
              <w:pStyle w:val="0"/>
            </w:pPr>
            <w:r>
              <w:rPr>
                <w:sz w:val="24"/>
              </w:rPr>
            </w:r>
          </w:p>
        </w:tc>
        <w:tc>
          <w:tcPr>
            <w:tcW w:w="663" w:type="dxa"/>
          </w:tcPr>
          <w:p>
            <w:pPr>
              <w:pStyle w:val="0"/>
            </w:pPr>
            <w:r>
              <w:rPr>
                <w:sz w:val="24"/>
              </w:rPr>
            </w:r>
          </w:p>
        </w:tc>
        <w:tc>
          <w:tcPr>
            <w:tcW w:w="664" w:type="dxa"/>
          </w:tcPr>
          <w:p>
            <w:pPr>
              <w:pStyle w:val="0"/>
            </w:pPr>
            <w:r>
              <w:rPr>
                <w:sz w:val="24"/>
              </w:rPr>
            </w:r>
          </w:p>
        </w:tc>
        <w:tc>
          <w:tcPr>
            <w:tcW w:w="918" w:type="dxa"/>
          </w:tcPr>
          <w:p>
            <w:pPr>
              <w:pStyle w:val="0"/>
            </w:pPr>
            <w:r>
              <w:rPr>
                <w:sz w:val="24"/>
              </w:rPr>
            </w:r>
          </w:p>
        </w:tc>
        <w:tc>
          <w:tcPr>
            <w:tcW w:w="918" w:type="dxa"/>
          </w:tcPr>
          <w:p>
            <w:pPr>
              <w:pStyle w:val="0"/>
            </w:pPr>
            <w:r>
              <w:rPr>
                <w:sz w:val="24"/>
              </w:rPr>
            </w:r>
          </w:p>
        </w:tc>
        <w:tc>
          <w:tcPr>
            <w:tcW w:w="919" w:type="dxa"/>
          </w:tcPr>
          <w:p>
            <w:pPr>
              <w:pStyle w:val="0"/>
            </w:pPr>
            <w:r>
              <w:rPr>
                <w:sz w:val="24"/>
              </w:rPr>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9071"/>
      </w:tblGrid>
      <w:tr>
        <w:tc>
          <w:tcPr>
            <w:tcW w:w="9071" w:type="dxa"/>
            <w:tcBorders>
              <w:top w:val="nil"/>
              <w:left w:val="nil"/>
              <w:bottom w:val="nil"/>
              <w:right w:val="nil"/>
            </w:tcBorders>
          </w:tcPr>
          <w:p>
            <w:pPr>
              <w:pStyle w:val="0"/>
              <w:outlineLvl w:val="1"/>
              <w:jc w:val="both"/>
            </w:pPr>
            <w:r>
              <w:rPr>
                <w:sz w:val="24"/>
              </w:rPr>
              <w:t xml:space="preserve">2. Общая характеристика объектов, использующих источники ионизирующего излучения</w:t>
            </w:r>
          </w:p>
        </w:tc>
      </w:tr>
    </w:tbl>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964"/>
        <w:gridCol w:w="475"/>
        <w:gridCol w:w="475"/>
        <w:gridCol w:w="475"/>
        <w:gridCol w:w="475"/>
        <w:gridCol w:w="475"/>
        <w:gridCol w:w="475"/>
        <w:gridCol w:w="475"/>
        <w:gridCol w:w="475"/>
        <w:gridCol w:w="475"/>
        <w:gridCol w:w="475"/>
        <w:gridCol w:w="475"/>
        <w:gridCol w:w="475"/>
        <w:gridCol w:w="475"/>
        <w:gridCol w:w="475"/>
        <w:gridCol w:w="475"/>
        <w:gridCol w:w="475"/>
        <w:gridCol w:w="488"/>
      </w:tblGrid>
      <w:tr>
        <w:tc>
          <w:tcPr>
            <w:tcW w:w="964" w:type="dxa"/>
            <w:vMerge w:val="restart"/>
          </w:tcPr>
          <w:bookmarkStart w:id="1225" w:name="P1225"/>
          <w:bookmarkEnd w:id="1225"/>
          <w:p>
            <w:pPr>
              <w:pStyle w:val="0"/>
              <w:jc w:val="center"/>
            </w:pPr>
            <w:r>
              <w:rPr>
                <w:sz w:val="24"/>
              </w:rPr>
              <w:t xml:space="preserve">Виды </w:t>
            </w:r>
            <w:hyperlink w:history="0" w:anchor="P1426" w:tooltip="&lt;1&gt;">
              <w:r>
                <w:rPr>
                  <w:sz w:val="24"/>
                  <w:color w:val="0000ff"/>
                </w:rPr>
                <w:t xml:space="preserve">&lt;1&gt;</w:t>
              </w:r>
            </w:hyperlink>
            <w:r>
              <w:rPr>
                <w:sz w:val="24"/>
              </w:rPr>
              <w:t xml:space="preserve"> организаций</w:t>
            </w:r>
          </w:p>
        </w:tc>
        <w:tc>
          <w:tcPr>
            <w:gridSpan w:val="17"/>
            <w:tcW w:w="8088" w:type="dxa"/>
          </w:tcPr>
          <w:p>
            <w:pPr>
              <w:pStyle w:val="0"/>
              <w:jc w:val="center"/>
            </w:pPr>
            <w:r>
              <w:rPr>
                <w:sz w:val="24"/>
              </w:rPr>
              <w:t xml:space="preserve">Типы установок с ИИИ </w:t>
            </w:r>
            <w:hyperlink w:history="0" w:anchor="P1428" w:tooltip="&lt;2&gt;">
              <w:r>
                <w:rPr>
                  <w:sz w:val="24"/>
                  <w:color w:val="0000ff"/>
                </w:rPr>
                <w:t xml:space="preserve">&lt;2&gt;</w:t>
              </w:r>
            </w:hyperlink>
          </w:p>
        </w:tc>
      </w:tr>
      <w:tr>
        <w:tc>
          <w:tcPr>
            <w:vMerge w:val="continue"/>
          </w:tcPr>
          <w:p/>
        </w:tc>
        <w:tc>
          <w:tcPr>
            <w:tcW w:w="475" w:type="dxa"/>
          </w:tcPr>
          <w:p>
            <w:pPr>
              <w:pStyle w:val="0"/>
              <w:jc w:val="center"/>
            </w:pPr>
            <w:r>
              <w:rPr>
                <w:sz w:val="24"/>
              </w:rPr>
              <w:t xml:space="preserve">1</w:t>
            </w:r>
          </w:p>
        </w:tc>
        <w:tc>
          <w:tcPr>
            <w:tcW w:w="475" w:type="dxa"/>
          </w:tcPr>
          <w:p>
            <w:pPr>
              <w:pStyle w:val="0"/>
              <w:jc w:val="center"/>
            </w:pPr>
            <w:r>
              <w:rPr>
                <w:sz w:val="24"/>
              </w:rPr>
              <w:t xml:space="preserve">2</w:t>
            </w:r>
          </w:p>
        </w:tc>
        <w:tc>
          <w:tcPr>
            <w:tcW w:w="475" w:type="dxa"/>
          </w:tcPr>
          <w:p>
            <w:pPr>
              <w:pStyle w:val="0"/>
              <w:jc w:val="center"/>
            </w:pPr>
            <w:r>
              <w:rPr>
                <w:sz w:val="24"/>
              </w:rPr>
              <w:t xml:space="preserve">3</w:t>
            </w:r>
          </w:p>
        </w:tc>
        <w:tc>
          <w:tcPr>
            <w:tcW w:w="475" w:type="dxa"/>
          </w:tcPr>
          <w:p>
            <w:pPr>
              <w:pStyle w:val="0"/>
              <w:jc w:val="center"/>
            </w:pPr>
            <w:r>
              <w:rPr>
                <w:sz w:val="24"/>
              </w:rPr>
              <w:t xml:space="preserve">4</w:t>
            </w:r>
          </w:p>
        </w:tc>
        <w:tc>
          <w:tcPr>
            <w:tcW w:w="475" w:type="dxa"/>
          </w:tcPr>
          <w:p>
            <w:pPr>
              <w:pStyle w:val="0"/>
              <w:jc w:val="center"/>
            </w:pPr>
            <w:r>
              <w:rPr>
                <w:sz w:val="24"/>
              </w:rPr>
              <w:t xml:space="preserve">5</w:t>
            </w:r>
          </w:p>
        </w:tc>
        <w:tc>
          <w:tcPr>
            <w:tcW w:w="475" w:type="dxa"/>
          </w:tcPr>
          <w:p>
            <w:pPr>
              <w:pStyle w:val="0"/>
              <w:jc w:val="center"/>
            </w:pPr>
            <w:r>
              <w:rPr>
                <w:sz w:val="24"/>
              </w:rPr>
              <w:t xml:space="preserve">6</w:t>
            </w:r>
          </w:p>
        </w:tc>
        <w:tc>
          <w:tcPr>
            <w:tcW w:w="475" w:type="dxa"/>
          </w:tcPr>
          <w:p>
            <w:pPr>
              <w:pStyle w:val="0"/>
              <w:jc w:val="center"/>
            </w:pPr>
            <w:r>
              <w:rPr>
                <w:sz w:val="24"/>
              </w:rPr>
              <w:t xml:space="preserve">7</w:t>
            </w:r>
          </w:p>
        </w:tc>
        <w:tc>
          <w:tcPr>
            <w:tcW w:w="475" w:type="dxa"/>
          </w:tcPr>
          <w:p>
            <w:pPr>
              <w:pStyle w:val="0"/>
              <w:jc w:val="center"/>
            </w:pPr>
            <w:r>
              <w:rPr>
                <w:sz w:val="24"/>
              </w:rPr>
              <w:t xml:space="preserve">8</w:t>
            </w:r>
          </w:p>
        </w:tc>
        <w:tc>
          <w:tcPr>
            <w:tcW w:w="475" w:type="dxa"/>
          </w:tcPr>
          <w:p>
            <w:pPr>
              <w:pStyle w:val="0"/>
              <w:jc w:val="center"/>
            </w:pPr>
            <w:r>
              <w:rPr>
                <w:sz w:val="24"/>
              </w:rPr>
              <w:t xml:space="preserve">9</w:t>
            </w:r>
          </w:p>
        </w:tc>
        <w:tc>
          <w:tcPr>
            <w:tcW w:w="475" w:type="dxa"/>
          </w:tcPr>
          <w:p>
            <w:pPr>
              <w:pStyle w:val="0"/>
              <w:jc w:val="center"/>
            </w:pPr>
            <w:r>
              <w:rPr>
                <w:sz w:val="24"/>
              </w:rPr>
              <w:t xml:space="preserve">10</w:t>
            </w:r>
          </w:p>
        </w:tc>
        <w:tc>
          <w:tcPr>
            <w:tcW w:w="475" w:type="dxa"/>
          </w:tcPr>
          <w:p>
            <w:pPr>
              <w:pStyle w:val="0"/>
              <w:jc w:val="center"/>
            </w:pPr>
            <w:r>
              <w:rPr>
                <w:sz w:val="24"/>
              </w:rPr>
              <w:t xml:space="preserve">11</w:t>
            </w:r>
          </w:p>
        </w:tc>
        <w:tc>
          <w:tcPr>
            <w:tcW w:w="475" w:type="dxa"/>
          </w:tcPr>
          <w:p>
            <w:pPr>
              <w:pStyle w:val="0"/>
              <w:jc w:val="center"/>
            </w:pPr>
            <w:r>
              <w:rPr>
                <w:sz w:val="24"/>
              </w:rPr>
              <w:t xml:space="preserve">12</w:t>
            </w:r>
          </w:p>
        </w:tc>
        <w:tc>
          <w:tcPr>
            <w:tcW w:w="475" w:type="dxa"/>
          </w:tcPr>
          <w:p>
            <w:pPr>
              <w:pStyle w:val="0"/>
              <w:jc w:val="center"/>
            </w:pPr>
            <w:r>
              <w:rPr>
                <w:sz w:val="24"/>
              </w:rPr>
              <w:t xml:space="preserve">13</w:t>
            </w:r>
          </w:p>
        </w:tc>
        <w:tc>
          <w:tcPr>
            <w:tcW w:w="475" w:type="dxa"/>
          </w:tcPr>
          <w:p>
            <w:pPr>
              <w:pStyle w:val="0"/>
              <w:jc w:val="center"/>
            </w:pPr>
            <w:r>
              <w:rPr>
                <w:sz w:val="24"/>
              </w:rPr>
              <w:t xml:space="preserve">14</w:t>
            </w:r>
          </w:p>
        </w:tc>
        <w:tc>
          <w:tcPr>
            <w:tcW w:w="475" w:type="dxa"/>
          </w:tcPr>
          <w:p>
            <w:pPr>
              <w:pStyle w:val="0"/>
              <w:jc w:val="center"/>
            </w:pPr>
            <w:r>
              <w:rPr>
                <w:sz w:val="24"/>
              </w:rPr>
              <w:t xml:space="preserve">15</w:t>
            </w:r>
          </w:p>
        </w:tc>
        <w:tc>
          <w:tcPr>
            <w:tcW w:w="475" w:type="dxa"/>
          </w:tcPr>
          <w:p>
            <w:pPr>
              <w:pStyle w:val="0"/>
              <w:jc w:val="center"/>
            </w:pPr>
            <w:r>
              <w:rPr>
                <w:sz w:val="24"/>
              </w:rPr>
              <w:t xml:space="preserve">16</w:t>
            </w:r>
          </w:p>
        </w:tc>
        <w:tc>
          <w:tcPr>
            <w:tcW w:w="488" w:type="dxa"/>
          </w:tcPr>
          <w:p>
            <w:pPr>
              <w:pStyle w:val="0"/>
              <w:jc w:val="center"/>
            </w:pPr>
            <w:r>
              <w:rPr>
                <w:sz w:val="24"/>
              </w:rPr>
              <w:t xml:space="preserve">17</w:t>
            </w:r>
          </w:p>
        </w:tc>
      </w:tr>
      <w:tr>
        <w:tc>
          <w:tcPr>
            <w:tcW w:w="964" w:type="dxa"/>
          </w:tcPr>
          <w:p>
            <w:pPr>
              <w:pStyle w:val="0"/>
              <w:jc w:val="center"/>
            </w:pPr>
            <w:r>
              <w:rPr>
                <w:sz w:val="24"/>
              </w:rPr>
              <w:t xml:space="preserve">1</w:t>
            </w:r>
          </w:p>
        </w:tc>
        <w:tc>
          <w:tcPr>
            <w:tcW w:w="475" w:type="dxa"/>
          </w:tcPr>
          <w:p>
            <w:pPr>
              <w:pStyle w:val="0"/>
            </w:pPr>
            <w:r>
              <w:rPr>
                <w:sz w:val="24"/>
              </w:rPr>
            </w:r>
          </w:p>
        </w:tc>
        <w:tc>
          <w:tcPr>
            <w:tcW w:w="475" w:type="dxa"/>
          </w:tcPr>
          <w:p>
            <w:pPr>
              <w:pStyle w:val="0"/>
            </w:pPr>
            <w:r>
              <w:rPr>
                <w:sz w:val="24"/>
              </w:rPr>
            </w:r>
          </w:p>
        </w:tc>
        <w:tc>
          <w:tcPr>
            <w:tcW w:w="475" w:type="dxa"/>
          </w:tcPr>
          <w:p>
            <w:pPr>
              <w:pStyle w:val="0"/>
            </w:pPr>
            <w:r>
              <w:rPr>
                <w:sz w:val="24"/>
              </w:rPr>
            </w:r>
          </w:p>
        </w:tc>
        <w:tc>
          <w:tcPr>
            <w:tcW w:w="475" w:type="dxa"/>
          </w:tcPr>
          <w:p>
            <w:pPr>
              <w:pStyle w:val="0"/>
            </w:pPr>
            <w:r>
              <w:rPr>
                <w:sz w:val="24"/>
              </w:rPr>
            </w:r>
          </w:p>
        </w:tc>
        <w:tc>
          <w:tcPr>
            <w:tcW w:w="475" w:type="dxa"/>
          </w:tcPr>
          <w:p>
            <w:pPr>
              <w:pStyle w:val="0"/>
            </w:pPr>
            <w:r>
              <w:rPr>
                <w:sz w:val="24"/>
              </w:rPr>
            </w:r>
          </w:p>
        </w:tc>
        <w:tc>
          <w:tcPr>
            <w:tcW w:w="475" w:type="dxa"/>
          </w:tcPr>
          <w:p>
            <w:pPr>
              <w:pStyle w:val="0"/>
            </w:pPr>
            <w:r>
              <w:rPr>
                <w:sz w:val="24"/>
              </w:rPr>
            </w:r>
          </w:p>
        </w:tc>
        <w:tc>
          <w:tcPr>
            <w:tcW w:w="475" w:type="dxa"/>
          </w:tcPr>
          <w:p>
            <w:pPr>
              <w:pStyle w:val="0"/>
            </w:pPr>
            <w:r>
              <w:rPr>
                <w:sz w:val="24"/>
              </w:rPr>
            </w:r>
          </w:p>
        </w:tc>
        <w:tc>
          <w:tcPr>
            <w:tcW w:w="475" w:type="dxa"/>
          </w:tcPr>
          <w:p>
            <w:pPr>
              <w:pStyle w:val="0"/>
            </w:pPr>
            <w:r>
              <w:rPr>
                <w:sz w:val="24"/>
              </w:rPr>
            </w:r>
          </w:p>
        </w:tc>
        <w:tc>
          <w:tcPr>
            <w:tcW w:w="475" w:type="dxa"/>
          </w:tcPr>
          <w:p>
            <w:pPr>
              <w:pStyle w:val="0"/>
            </w:pPr>
            <w:r>
              <w:rPr>
                <w:sz w:val="24"/>
              </w:rPr>
            </w:r>
          </w:p>
        </w:tc>
        <w:tc>
          <w:tcPr>
            <w:tcW w:w="475" w:type="dxa"/>
          </w:tcPr>
          <w:p>
            <w:pPr>
              <w:pStyle w:val="0"/>
            </w:pPr>
            <w:r>
              <w:rPr>
                <w:sz w:val="24"/>
              </w:rPr>
            </w:r>
          </w:p>
        </w:tc>
        <w:tc>
          <w:tcPr>
            <w:tcW w:w="475" w:type="dxa"/>
          </w:tcPr>
          <w:p>
            <w:pPr>
              <w:pStyle w:val="0"/>
            </w:pPr>
            <w:r>
              <w:rPr>
                <w:sz w:val="24"/>
              </w:rPr>
            </w:r>
          </w:p>
        </w:tc>
        <w:tc>
          <w:tcPr>
            <w:tcW w:w="475" w:type="dxa"/>
          </w:tcPr>
          <w:p>
            <w:pPr>
              <w:pStyle w:val="0"/>
            </w:pPr>
            <w:r>
              <w:rPr>
                <w:sz w:val="24"/>
              </w:rPr>
            </w:r>
          </w:p>
        </w:tc>
        <w:tc>
          <w:tcPr>
            <w:tcW w:w="475" w:type="dxa"/>
          </w:tcPr>
          <w:p>
            <w:pPr>
              <w:pStyle w:val="0"/>
            </w:pPr>
            <w:r>
              <w:rPr>
                <w:sz w:val="24"/>
              </w:rPr>
            </w:r>
          </w:p>
        </w:tc>
        <w:tc>
          <w:tcPr>
            <w:tcW w:w="475" w:type="dxa"/>
          </w:tcPr>
          <w:p>
            <w:pPr>
              <w:pStyle w:val="0"/>
            </w:pPr>
            <w:r>
              <w:rPr>
                <w:sz w:val="24"/>
              </w:rPr>
            </w:r>
          </w:p>
        </w:tc>
        <w:tc>
          <w:tcPr>
            <w:tcW w:w="475" w:type="dxa"/>
          </w:tcPr>
          <w:p>
            <w:pPr>
              <w:pStyle w:val="0"/>
            </w:pPr>
            <w:r>
              <w:rPr>
                <w:sz w:val="24"/>
              </w:rPr>
            </w:r>
          </w:p>
        </w:tc>
        <w:tc>
          <w:tcPr>
            <w:tcW w:w="475" w:type="dxa"/>
          </w:tcPr>
          <w:p>
            <w:pPr>
              <w:pStyle w:val="0"/>
            </w:pPr>
            <w:r>
              <w:rPr>
                <w:sz w:val="24"/>
              </w:rPr>
            </w:r>
          </w:p>
        </w:tc>
        <w:tc>
          <w:tcPr>
            <w:tcW w:w="488" w:type="dxa"/>
          </w:tcPr>
          <w:p>
            <w:pPr>
              <w:pStyle w:val="0"/>
            </w:pPr>
            <w:r>
              <w:rPr>
                <w:sz w:val="24"/>
              </w:rPr>
            </w:r>
          </w:p>
        </w:tc>
      </w:tr>
      <w:tr>
        <w:tc>
          <w:tcPr>
            <w:tcW w:w="964" w:type="dxa"/>
          </w:tcPr>
          <w:p>
            <w:pPr>
              <w:pStyle w:val="0"/>
              <w:jc w:val="center"/>
            </w:pPr>
            <w:r>
              <w:rPr>
                <w:sz w:val="24"/>
              </w:rPr>
              <w:t xml:space="preserve">2</w:t>
            </w:r>
          </w:p>
        </w:tc>
        <w:tc>
          <w:tcPr>
            <w:tcW w:w="475" w:type="dxa"/>
          </w:tcPr>
          <w:p>
            <w:pPr>
              <w:pStyle w:val="0"/>
            </w:pPr>
            <w:r>
              <w:rPr>
                <w:sz w:val="24"/>
              </w:rPr>
            </w:r>
          </w:p>
        </w:tc>
        <w:tc>
          <w:tcPr>
            <w:tcW w:w="475" w:type="dxa"/>
          </w:tcPr>
          <w:p>
            <w:pPr>
              <w:pStyle w:val="0"/>
            </w:pPr>
            <w:r>
              <w:rPr>
                <w:sz w:val="24"/>
              </w:rPr>
            </w:r>
          </w:p>
        </w:tc>
        <w:tc>
          <w:tcPr>
            <w:tcW w:w="475" w:type="dxa"/>
          </w:tcPr>
          <w:p>
            <w:pPr>
              <w:pStyle w:val="0"/>
            </w:pPr>
            <w:r>
              <w:rPr>
                <w:sz w:val="24"/>
              </w:rPr>
            </w:r>
          </w:p>
        </w:tc>
        <w:tc>
          <w:tcPr>
            <w:tcW w:w="475" w:type="dxa"/>
          </w:tcPr>
          <w:p>
            <w:pPr>
              <w:pStyle w:val="0"/>
            </w:pPr>
            <w:r>
              <w:rPr>
                <w:sz w:val="24"/>
              </w:rPr>
            </w:r>
          </w:p>
        </w:tc>
        <w:tc>
          <w:tcPr>
            <w:tcW w:w="475" w:type="dxa"/>
          </w:tcPr>
          <w:p>
            <w:pPr>
              <w:pStyle w:val="0"/>
            </w:pPr>
            <w:r>
              <w:rPr>
                <w:sz w:val="24"/>
              </w:rPr>
            </w:r>
          </w:p>
        </w:tc>
        <w:tc>
          <w:tcPr>
            <w:tcW w:w="475" w:type="dxa"/>
          </w:tcPr>
          <w:p>
            <w:pPr>
              <w:pStyle w:val="0"/>
            </w:pPr>
            <w:r>
              <w:rPr>
                <w:sz w:val="24"/>
              </w:rPr>
            </w:r>
          </w:p>
        </w:tc>
        <w:tc>
          <w:tcPr>
            <w:tcW w:w="475" w:type="dxa"/>
          </w:tcPr>
          <w:p>
            <w:pPr>
              <w:pStyle w:val="0"/>
            </w:pPr>
            <w:r>
              <w:rPr>
                <w:sz w:val="24"/>
              </w:rPr>
            </w:r>
          </w:p>
        </w:tc>
        <w:tc>
          <w:tcPr>
            <w:tcW w:w="475" w:type="dxa"/>
          </w:tcPr>
          <w:p>
            <w:pPr>
              <w:pStyle w:val="0"/>
            </w:pPr>
            <w:r>
              <w:rPr>
                <w:sz w:val="24"/>
              </w:rPr>
            </w:r>
          </w:p>
        </w:tc>
        <w:tc>
          <w:tcPr>
            <w:tcW w:w="475" w:type="dxa"/>
          </w:tcPr>
          <w:p>
            <w:pPr>
              <w:pStyle w:val="0"/>
            </w:pPr>
            <w:r>
              <w:rPr>
                <w:sz w:val="24"/>
              </w:rPr>
            </w:r>
          </w:p>
        </w:tc>
        <w:tc>
          <w:tcPr>
            <w:tcW w:w="475" w:type="dxa"/>
          </w:tcPr>
          <w:p>
            <w:pPr>
              <w:pStyle w:val="0"/>
            </w:pPr>
            <w:r>
              <w:rPr>
                <w:sz w:val="24"/>
              </w:rPr>
            </w:r>
          </w:p>
        </w:tc>
        <w:tc>
          <w:tcPr>
            <w:tcW w:w="475" w:type="dxa"/>
          </w:tcPr>
          <w:p>
            <w:pPr>
              <w:pStyle w:val="0"/>
            </w:pPr>
            <w:r>
              <w:rPr>
                <w:sz w:val="24"/>
              </w:rPr>
            </w:r>
          </w:p>
        </w:tc>
        <w:tc>
          <w:tcPr>
            <w:tcW w:w="475" w:type="dxa"/>
          </w:tcPr>
          <w:p>
            <w:pPr>
              <w:pStyle w:val="0"/>
            </w:pPr>
            <w:r>
              <w:rPr>
                <w:sz w:val="24"/>
              </w:rPr>
            </w:r>
          </w:p>
        </w:tc>
        <w:tc>
          <w:tcPr>
            <w:tcW w:w="475" w:type="dxa"/>
          </w:tcPr>
          <w:p>
            <w:pPr>
              <w:pStyle w:val="0"/>
            </w:pPr>
            <w:r>
              <w:rPr>
                <w:sz w:val="24"/>
              </w:rPr>
            </w:r>
          </w:p>
        </w:tc>
        <w:tc>
          <w:tcPr>
            <w:tcW w:w="475" w:type="dxa"/>
          </w:tcPr>
          <w:p>
            <w:pPr>
              <w:pStyle w:val="0"/>
            </w:pPr>
            <w:r>
              <w:rPr>
                <w:sz w:val="24"/>
              </w:rPr>
            </w:r>
          </w:p>
        </w:tc>
        <w:tc>
          <w:tcPr>
            <w:tcW w:w="475" w:type="dxa"/>
          </w:tcPr>
          <w:p>
            <w:pPr>
              <w:pStyle w:val="0"/>
            </w:pPr>
            <w:r>
              <w:rPr>
                <w:sz w:val="24"/>
              </w:rPr>
            </w:r>
          </w:p>
        </w:tc>
        <w:tc>
          <w:tcPr>
            <w:tcW w:w="475" w:type="dxa"/>
          </w:tcPr>
          <w:p>
            <w:pPr>
              <w:pStyle w:val="0"/>
            </w:pPr>
            <w:r>
              <w:rPr>
                <w:sz w:val="24"/>
              </w:rPr>
            </w:r>
          </w:p>
        </w:tc>
        <w:tc>
          <w:tcPr>
            <w:tcW w:w="488" w:type="dxa"/>
          </w:tcPr>
          <w:p>
            <w:pPr>
              <w:pStyle w:val="0"/>
            </w:pPr>
            <w:r>
              <w:rPr>
                <w:sz w:val="24"/>
              </w:rPr>
            </w:r>
          </w:p>
        </w:tc>
      </w:tr>
      <w:tr>
        <w:tc>
          <w:tcPr>
            <w:tcW w:w="964" w:type="dxa"/>
          </w:tcPr>
          <w:p>
            <w:pPr>
              <w:pStyle w:val="0"/>
              <w:jc w:val="center"/>
            </w:pPr>
            <w:r>
              <w:rPr>
                <w:sz w:val="24"/>
              </w:rPr>
              <w:t xml:space="preserve">3</w:t>
            </w:r>
          </w:p>
        </w:tc>
        <w:tc>
          <w:tcPr>
            <w:tcW w:w="475" w:type="dxa"/>
          </w:tcPr>
          <w:p>
            <w:pPr>
              <w:pStyle w:val="0"/>
            </w:pPr>
            <w:r>
              <w:rPr>
                <w:sz w:val="24"/>
              </w:rPr>
            </w:r>
          </w:p>
        </w:tc>
        <w:tc>
          <w:tcPr>
            <w:tcW w:w="475" w:type="dxa"/>
          </w:tcPr>
          <w:p>
            <w:pPr>
              <w:pStyle w:val="0"/>
            </w:pPr>
            <w:r>
              <w:rPr>
                <w:sz w:val="24"/>
              </w:rPr>
            </w:r>
          </w:p>
        </w:tc>
        <w:tc>
          <w:tcPr>
            <w:tcW w:w="475" w:type="dxa"/>
          </w:tcPr>
          <w:p>
            <w:pPr>
              <w:pStyle w:val="0"/>
            </w:pPr>
            <w:r>
              <w:rPr>
                <w:sz w:val="24"/>
              </w:rPr>
            </w:r>
          </w:p>
        </w:tc>
        <w:tc>
          <w:tcPr>
            <w:tcW w:w="475" w:type="dxa"/>
          </w:tcPr>
          <w:p>
            <w:pPr>
              <w:pStyle w:val="0"/>
            </w:pPr>
            <w:r>
              <w:rPr>
                <w:sz w:val="24"/>
              </w:rPr>
            </w:r>
          </w:p>
        </w:tc>
        <w:tc>
          <w:tcPr>
            <w:tcW w:w="475" w:type="dxa"/>
          </w:tcPr>
          <w:p>
            <w:pPr>
              <w:pStyle w:val="0"/>
            </w:pPr>
            <w:r>
              <w:rPr>
                <w:sz w:val="24"/>
              </w:rPr>
            </w:r>
          </w:p>
        </w:tc>
        <w:tc>
          <w:tcPr>
            <w:tcW w:w="475" w:type="dxa"/>
          </w:tcPr>
          <w:p>
            <w:pPr>
              <w:pStyle w:val="0"/>
            </w:pPr>
            <w:r>
              <w:rPr>
                <w:sz w:val="24"/>
              </w:rPr>
            </w:r>
          </w:p>
        </w:tc>
        <w:tc>
          <w:tcPr>
            <w:tcW w:w="475" w:type="dxa"/>
          </w:tcPr>
          <w:p>
            <w:pPr>
              <w:pStyle w:val="0"/>
            </w:pPr>
            <w:r>
              <w:rPr>
                <w:sz w:val="24"/>
              </w:rPr>
            </w:r>
          </w:p>
        </w:tc>
        <w:tc>
          <w:tcPr>
            <w:tcW w:w="475" w:type="dxa"/>
          </w:tcPr>
          <w:p>
            <w:pPr>
              <w:pStyle w:val="0"/>
            </w:pPr>
            <w:r>
              <w:rPr>
                <w:sz w:val="24"/>
              </w:rPr>
            </w:r>
          </w:p>
        </w:tc>
        <w:tc>
          <w:tcPr>
            <w:tcW w:w="475" w:type="dxa"/>
          </w:tcPr>
          <w:p>
            <w:pPr>
              <w:pStyle w:val="0"/>
            </w:pPr>
            <w:r>
              <w:rPr>
                <w:sz w:val="24"/>
              </w:rPr>
            </w:r>
          </w:p>
        </w:tc>
        <w:tc>
          <w:tcPr>
            <w:tcW w:w="475" w:type="dxa"/>
          </w:tcPr>
          <w:p>
            <w:pPr>
              <w:pStyle w:val="0"/>
            </w:pPr>
            <w:r>
              <w:rPr>
                <w:sz w:val="24"/>
              </w:rPr>
            </w:r>
          </w:p>
        </w:tc>
        <w:tc>
          <w:tcPr>
            <w:tcW w:w="475" w:type="dxa"/>
          </w:tcPr>
          <w:p>
            <w:pPr>
              <w:pStyle w:val="0"/>
            </w:pPr>
            <w:r>
              <w:rPr>
                <w:sz w:val="24"/>
              </w:rPr>
            </w:r>
          </w:p>
        </w:tc>
        <w:tc>
          <w:tcPr>
            <w:tcW w:w="475" w:type="dxa"/>
          </w:tcPr>
          <w:p>
            <w:pPr>
              <w:pStyle w:val="0"/>
            </w:pPr>
            <w:r>
              <w:rPr>
                <w:sz w:val="24"/>
              </w:rPr>
            </w:r>
          </w:p>
        </w:tc>
        <w:tc>
          <w:tcPr>
            <w:tcW w:w="475" w:type="dxa"/>
          </w:tcPr>
          <w:p>
            <w:pPr>
              <w:pStyle w:val="0"/>
            </w:pPr>
            <w:r>
              <w:rPr>
                <w:sz w:val="24"/>
              </w:rPr>
            </w:r>
          </w:p>
        </w:tc>
        <w:tc>
          <w:tcPr>
            <w:tcW w:w="475" w:type="dxa"/>
          </w:tcPr>
          <w:p>
            <w:pPr>
              <w:pStyle w:val="0"/>
            </w:pPr>
            <w:r>
              <w:rPr>
                <w:sz w:val="24"/>
              </w:rPr>
            </w:r>
          </w:p>
        </w:tc>
        <w:tc>
          <w:tcPr>
            <w:tcW w:w="475" w:type="dxa"/>
          </w:tcPr>
          <w:p>
            <w:pPr>
              <w:pStyle w:val="0"/>
            </w:pPr>
            <w:r>
              <w:rPr>
                <w:sz w:val="24"/>
              </w:rPr>
            </w:r>
          </w:p>
        </w:tc>
        <w:tc>
          <w:tcPr>
            <w:tcW w:w="475" w:type="dxa"/>
          </w:tcPr>
          <w:p>
            <w:pPr>
              <w:pStyle w:val="0"/>
            </w:pPr>
            <w:r>
              <w:rPr>
                <w:sz w:val="24"/>
              </w:rPr>
            </w:r>
          </w:p>
        </w:tc>
        <w:tc>
          <w:tcPr>
            <w:tcW w:w="488" w:type="dxa"/>
          </w:tcPr>
          <w:p>
            <w:pPr>
              <w:pStyle w:val="0"/>
            </w:pPr>
            <w:r>
              <w:rPr>
                <w:sz w:val="24"/>
              </w:rPr>
            </w:r>
          </w:p>
        </w:tc>
      </w:tr>
      <w:tr>
        <w:tc>
          <w:tcPr>
            <w:tcW w:w="964" w:type="dxa"/>
          </w:tcPr>
          <w:p>
            <w:pPr>
              <w:pStyle w:val="0"/>
              <w:jc w:val="center"/>
            </w:pPr>
            <w:r>
              <w:rPr>
                <w:sz w:val="24"/>
              </w:rPr>
              <w:t xml:space="preserve">4</w:t>
            </w:r>
          </w:p>
        </w:tc>
        <w:tc>
          <w:tcPr>
            <w:tcW w:w="475" w:type="dxa"/>
          </w:tcPr>
          <w:p>
            <w:pPr>
              <w:pStyle w:val="0"/>
            </w:pPr>
            <w:r>
              <w:rPr>
                <w:sz w:val="24"/>
              </w:rPr>
            </w:r>
          </w:p>
        </w:tc>
        <w:tc>
          <w:tcPr>
            <w:tcW w:w="475" w:type="dxa"/>
          </w:tcPr>
          <w:p>
            <w:pPr>
              <w:pStyle w:val="0"/>
            </w:pPr>
            <w:r>
              <w:rPr>
                <w:sz w:val="24"/>
              </w:rPr>
            </w:r>
          </w:p>
        </w:tc>
        <w:tc>
          <w:tcPr>
            <w:tcW w:w="475" w:type="dxa"/>
          </w:tcPr>
          <w:p>
            <w:pPr>
              <w:pStyle w:val="0"/>
            </w:pPr>
            <w:r>
              <w:rPr>
                <w:sz w:val="24"/>
              </w:rPr>
            </w:r>
          </w:p>
        </w:tc>
        <w:tc>
          <w:tcPr>
            <w:tcW w:w="475" w:type="dxa"/>
          </w:tcPr>
          <w:p>
            <w:pPr>
              <w:pStyle w:val="0"/>
            </w:pPr>
            <w:r>
              <w:rPr>
                <w:sz w:val="24"/>
              </w:rPr>
            </w:r>
          </w:p>
        </w:tc>
        <w:tc>
          <w:tcPr>
            <w:tcW w:w="475" w:type="dxa"/>
          </w:tcPr>
          <w:p>
            <w:pPr>
              <w:pStyle w:val="0"/>
            </w:pPr>
            <w:r>
              <w:rPr>
                <w:sz w:val="24"/>
              </w:rPr>
            </w:r>
          </w:p>
        </w:tc>
        <w:tc>
          <w:tcPr>
            <w:tcW w:w="475" w:type="dxa"/>
          </w:tcPr>
          <w:p>
            <w:pPr>
              <w:pStyle w:val="0"/>
            </w:pPr>
            <w:r>
              <w:rPr>
                <w:sz w:val="24"/>
              </w:rPr>
            </w:r>
          </w:p>
        </w:tc>
        <w:tc>
          <w:tcPr>
            <w:tcW w:w="475" w:type="dxa"/>
          </w:tcPr>
          <w:p>
            <w:pPr>
              <w:pStyle w:val="0"/>
            </w:pPr>
            <w:r>
              <w:rPr>
                <w:sz w:val="24"/>
              </w:rPr>
            </w:r>
          </w:p>
        </w:tc>
        <w:tc>
          <w:tcPr>
            <w:tcW w:w="475" w:type="dxa"/>
          </w:tcPr>
          <w:p>
            <w:pPr>
              <w:pStyle w:val="0"/>
            </w:pPr>
            <w:r>
              <w:rPr>
                <w:sz w:val="24"/>
              </w:rPr>
            </w:r>
          </w:p>
        </w:tc>
        <w:tc>
          <w:tcPr>
            <w:tcW w:w="475" w:type="dxa"/>
          </w:tcPr>
          <w:p>
            <w:pPr>
              <w:pStyle w:val="0"/>
            </w:pPr>
            <w:r>
              <w:rPr>
                <w:sz w:val="24"/>
              </w:rPr>
            </w:r>
          </w:p>
        </w:tc>
        <w:tc>
          <w:tcPr>
            <w:tcW w:w="475" w:type="dxa"/>
          </w:tcPr>
          <w:p>
            <w:pPr>
              <w:pStyle w:val="0"/>
            </w:pPr>
            <w:r>
              <w:rPr>
                <w:sz w:val="24"/>
              </w:rPr>
            </w:r>
          </w:p>
        </w:tc>
        <w:tc>
          <w:tcPr>
            <w:tcW w:w="475" w:type="dxa"/>
          </w:tcPr>
          <w:p>
            <w:pPr>
              <w:pStyle w:val="0"/>
            </w:pPr>
            <w:r>
              <w:rPr>
                <w:sz w:val="24"/>
              </w:rPr>
            </w:r>
          </w:p>
        </w:tc>
        <w:tc>
          <w:tcPr>
            <w:tcW w:w="475" w:type="dxa"/>
          </w:tcPr>
          <w:p>
            <w:pPr>
              <w:pStyle w:val="0"/>
            </w:pPr>
            <w:r>
              <w:rPr>
                <w:sz w:val="24"/>
              </w:rPr>
            </w:r>
          </w:p>
        </w:tc>
        <w:tc>
          <w:tcPr>
            <w:tcW w:w="475" w:type="dxa"/>
          </w:tcPr>
          <w:p>
            <w:pPr>
              <w:pStyle w:val="0"/>
            </w:pPr>
            <w:r>
              <w:rPr>
                <w:sz w:val="24"/>
              </w:rPr>
            </w:r>
          </w:p>
        </w:tc>
        <w:tc>
          <w:tcPr>
            <w:tcW w:w="475" w:type="dxa"/>
          </w:tcPr>
          <w:p>
            <w:pPr>
              <w:pStyle w:val="0"/>
            </w:pPr>
            <w:r>
              <w:rPr>
                <w:sz w:val="24"/>
              </w:rPr>
            </w:r>
          </w:p>
        </w:tc>
        <w:tc>
          <w:tcPr>
            <w:tcW w:w="475" w:type="dxa"/>
          </w:tcPr>
          <w:p>
            <w:pPr>
              <w:pStyle w:val="0"/>
            </w:pPr>
            <w:r>
              <w:rPr>
                <w:sz w:val="24"/>
              </w:rPr>
            </w:r>
          </w:p>
        </w:tc>
        <w:tc>
          <w:tcPr>
            <w:tcW w:w="475" w:type="dxa"/>
          </w:tcPr>
          <w:p>
            <w:pPr>
              <w:pStyle w:val="0"/>
            </w:pPr>
            <w:r>
              <w:rPr>
                <w:sz w:val="24"/>
              </w:rPr>
            </w:r>
          </w:p>
        </w:tc>
        <w:tc>
          <w:tcPr>
            <w:tcW w:w="488" w:type="dxa"/>
          </w:tcPr>
          <w:p>
            <w:pPr>
              <w:pStyle w:val="0"/>
            </w:pPr>
            <w:r>
              <w:rPr>
                <w:sz w:val="24"/>
              </w:rPr>
            </w:r>
          </w:p>
        </w:tc>
      </w:tr>
      <w:tr>
        <w:tc>
          <w:tcPr>
            <w:tcW w:w="964" w:type="dxa"/>
          </w:tcPr>
          <w:p>
            <w:pPr>
              <w:pStyle w:val="0"/>
              <w:jc w:val="center"/>
            </w:pPr>
            <w:r>
              <w:rPr>
                <w:sz w:val="24"/>
              </w:rPr>
              <w:t xml:space="preserve">5</w:t>
            </w:r>
          </w:p>
        </w:tc>
        <w:tc>
          <w:tcPr>
            <w:tcW w:w="475" w:type="dxa"/>
          </w:tcPr>
          <w:p>
            <w:pPr>
              <w:pStyle w:val="0"/>
            </w:pPr>
            <w:r>
              <w:rPr>
                <w:sz w:val="24"/>
              </w:rPr>
            </w:r>
          </w:p>
        </w:tc>
        <w:tc>
          <w:tcPr>
            <w:tcW w:w="475" w:type="dxa"/>
          </w:tcPr>
          <w:p>
            <w:pPr>
              <w:pStyle w:val="0"/>
            </w:pPr>
            <w:r>
              <w:rPr>
                <w:sz w:val="24"/>
              </w:rPr>
            </w:r>
          </w:p>
        </w:tc>
        <w:tc>
          <w:tcPr>
            <w:tcW w:w="475" w:type="dxa"/>
          </w:tcPr>
          <w:p>
            <w:pPr>
              <w:pStyle w:val="0"/>
            </w:pPr>
            <w:r>
              <w:rPr>
                <w:sz w:val="24"/>
              </w:rPr>
            </w:r>
          </w:p>
        </w:tc>
        <w:tc>
          <w:tcPr>
            <w:tcW w:w="475" w:type="dxa"/>
          </w:tcPr>
          <w:p>
            <w:pPr>
              <w:pStyle w:val="0"/>
            </w:pPr>
            <w:r>
              <w:rPr>
                <w:sz w:val="24"/>
              </w:rPr>
            </w:r>
          </w:p>
        </w:tc>
        <w:tc>
          <w:tcPr>
            <w:tcW w:w="475" w:type="dxa"/>
          </w:tcPr>
          <w:p>
            <w:pPr>
              <w:pStyle w:val="0"/>
            </w:pPr>
            <w:r>
              <w:rPr>
                <w:sz w:val="24"/>
              </w:rPr>
            </w:r>
          </w:p>
        </w:tc>
        <w:tc>
          <w:tcPr>
            <w:tcW w:w="475" w:type="dxa"/>
          </w:tcPr>
          <w:p>
            <w:pPr>
              <w:pStyle w:val="0"/>
            </w:pPr>
            <w:r>
              <w:rPr>
                <w:sz w:val="24"/>
              </w:rPr>
            </w:r>
          </w:p>
        </w:tc>
        <w:tc>
          <w:tcPr>
            <w:tcW w:w="475" w:type="dxa"/>
          </w:tcPr>
          <w:p>
            <w:pPr>
              <w:pStyle w:val="0"/>
            </w:pPr>
            <w:r>
              <w:rPr>
                <w:sz w:val="24"/>
              </w:rPr>
            </w:r>
          </w:p>
        </w:tc>
        <w:tc>
          <w:tcPr>
            <w:tcW w:w="475" w:type="dxa"/>
          </w:tcPr>
          <w:p>
            <w:pPr>
              <w:pStyle w:val="0"/>
            </w:pPr>
            <w:r>
              <w:rPr>
                <w:sz w:val="24"/>
              </w:rPr>
            </w:r>
          </w:p>
        </w:tc>
        <w:tc>
          <w:tcPr>
            <w:tcW w:w="475" w:type="dxa"/>
          </w:tcPr>
          <w:p>
            <w:pPr>
              <w:pStyle w:val="0"/>
            </w:pPr>
            <w:r>
              <w:rPr>
                <w:sz w:val="24"/>
              </w:rPr>
            </w:r>
          </w:p>
        </w:tc>
        <w:tc>
          <w:tcPr>
            <w:tcW w:w="475" w:type="dxa"/>
          </w:tcPr>
          <w:p>
            <w:pPr>
              <w:pStyle w:val="0"/>
            </w:pPr>
            <w:r>
              <w:rPr>
                <w:sz w:val="24"/>
              </w:rPr>
            </w:r>
          </w:p>
        </w:tc>
        <w:tc>
          <w:tcPr>
            <w:tcW w:w="475" w:type="dxa"/>
          </w:tcPr>
          <w:p>
            <w:pPr>
              <w:pStyle w:val="0"/>
            </w:pPr>
            <w:r>
              <w:rPr>
                <w:sz w:val="24"/>
              </w:rPr>
            </w:r>
          </w:p>
        </w:tc>
        <w:tc>
          <w:tcPr>
            <w:tcW w:w="475" w:type="dxa"/>
          </w:tcPr>
          <w:p>
            <w:pPr>
              <w:pStyle w:val="0"/>
            </w:pPr>
            <w:r>
              <w:rPr>
                <w:sz w:val="24"/>
              </w:rPr>
            </w:r>
          </w:p>
        </w:tc>
        <w:tc>
          <w:tcPr>
            <w:tcW w:w="475" w:type="dxa"/>
          </w:tcPr>
          <w:p>
            <w:pPr>
              <w:pStyle w:val="0"/>
            </w:pPr>
            <w:r>
              <w:rPr>
                <w:sz w:val="24"/>
              </w:rPr>
            </w:r>
          </w:p>
        </w:tc>
        <w:tc>
          <w:tcPr>
            <w:tcW w:w="475" w:type="dxa"/>
          </w:tcPr>
          <w:p>
            <w:pPr>
              <w:pStyle w:val="0"/>
            </w:pPr>
            <w:r>
              <w:rPr>
                <w:sz w:val="24"/>
              </w:rPr>
            </w:r>
          </w:p>
        </w:tc>
        <w:tc>
          <w:tcPr>
            <w:tcW w:w="475" w:type="dxa"/>
          </w:tcPr>
          <w:p>
            <w:pPr>
              <w:pStyle w:val="0"/>
            </w:pPr>
            <w:r>
              <w:rPr>
                <w:sz w:val="24"/>
              </w:rPr>
            </w:r>
          </w:p>
        </w:tc>
        <w:tc>
          <w:tcPr>
            <w:tcW w:w="475" w:type="dxa"/>
          </w:tcPr>
          <w:p>
            <w:pPr>
              <w:pStyle w:val="0"/>
            </w:pPr>
            <w:r>
              <w:rPr>
                <w:sz w:val="24"/>
              </w:rPr>
            </w:r>
          </w:p>
        </w:tc>
        <w:tc>
          <w:tcPr>
            <w:tcW w:w="488" w:type="dxa"/>
          </w:tcPr>
          <w:p>
            <w:pPr>
              <w:pStyle w:val="0"/>
            </w:pPr>
            <w:r>
              <w:rPr>
                <w:sz w:val="24"/>
              </w:rPr>
            </w:r>
          </w:p>
        </w:tc>
      </w:tr>
      <w:tr>
        <w:tc>
          <w:tcPr>
            <w:tcW w:w="964" w:type="dxa"/>
          </w:tcPr>
          <w:p>
            <w:pPr>
              <w:pStyle w:val="0"/>
              <w:jc w:val="center"/>
            </w:pPr>
            <w:r>
              <w:rPr>
                <w:sz w:val="24"/>
              </w:rPr>
              <w:t xml:space="preserve">6</w:t>
            </w:r>
          </w:p>
        </w:tc>
        <w:tc>
          <w:tcPr>
            <w:tcW w:w="475" w:type="dxa"/>
          </w:tcPr>
          <w:p>
            <w:pPr>
              <w:pStyle w:val="0"/>
            </w:pPr>
            <w:r>
              <w:rPr>
                <w:sz w:val="24"/>
              </w:rPr>
            </w:r>
          </w:p>
        </w:tc>
        <w:tc>
          <w:tcPr>
            <w:tcW w:w="475" w:type="dxa"/>
          </w:tcPr>
          <w:p>
            <w:pPr>
              <w:pStyle w:val="0"/>
            </w:pPr>
            <w:r>
              <w:rPr>
                <w:sz w:val="24"/>
              </w:rPr>
            </w:r>
          </w:p>
        </w:tc>
        <w:tc>
          <w:tcPr>
            <w:tcW w:w="475" w:type="dxa"/>
          </w:tcPr>
          <w:p>
            <w:pPr>
              <w:pStyle w:val="0"/>
            </w:pPr>
            <w:r>
              <w:rPr>
                <w:sz w:val="24"/>
              </w:rPr>
            </w:r>
          </w:p>
        </w:tc>
        <w:tc>
          <w:tcPr>
            <w:tcW w:w="475" w:type="dxa"/>
          </w:tcPr>
          <w:p>
            <w:pPr>
              <w:pStyle w:val="0"/>
            </w:pPr>
            <w:r>
              <w:rPr>
                <w:sz w:val="24"/>
              </w:rPr>
            </w:r>
          </w:p>
        </w:tc>
        <w:tc>
          <w:tcPr>
            <w:tcW w:w="475" w:type="dxa"/>
          </w:tcPr>
          <w:p>
            <w:pPr>
              <w:pStyle w:val="0"/>
            </w:pPr>
            <w:r>
              <w:rPr>
                <w:sz w:val="24"/>
              </w:rPr>
            </w:r>
          </w:p>
        </w:tc>
        <w:tc>
          <w:tcPr>
            <w:tcW w:w="475" w:type="dxa"/>
          </w:tcPr>
          <w:p>
            <w:pPr>
              <w:pStyle w:val="0"/>
            </w:pPr>
            <w:r>
              <w:rPr>
                <w:sz w:val="24"/>
              </w:rPr>
            </w:r>
          </w:p>
        </w:tc>
        <w:tc>
          <w:tcPr>
            <w:tcW w:w="475" w:type="dxa"/>
          </w:tcPr>
          <w:p>
            <w:pPr>
              <w:pStyle w:val="0"/>
            </w:pPr>
            <w:r>
              <w:rPr>
                <w:sz w:val="24"/>
              </w:rPr>
            </w:r>
          </w:p>
        </w:tc>
        <w:tc>
          <w:tcPr>
            <w:tcW w:w="475" w:type="dxa"/>
          </w:tcPr>
          <w:p>
            <w:pPr>
              <w:pStyle w:val="0"/>
            </w:pPr>
            <w:r>
              <w:rPr>
                <w:sz w:val="24"/>
              </w:rPr>
            </w:r>
          </w:p>
        </w:tc>
        <w:tc>
          <w:tcPr>
            <w:tcW w:w="475" w:type="dxa"/>
          </w:tcPr>
          <w:p>
            <w:pPr>
              <w:pStyle w:val="0"/>
            </w:pPr>
            <w:r>
              <w:rPr>
                <w:sz w:val="24"/>
              </w:rPr>
            </w:r>
          </w:p>
        </w:tc>
        <w:tc>
          <w:tcPr>
            <w:tcW w:w="475" w:type="dxa"/>
          </w:tcPr>
          <w:p>
            <w:pPr>
              <w:pStyle w:val="0"/>
            </w:pPr>
            <w:r>
              <w:rPr>
                <w:sz w:val="24"/>
              </w:rPr>
            </w:r>
          </w:p>
        </w:tc>
        <w:tc>
          <w:tcPr>
            <w:tcW w:w="475" w:type="dxa"/>
          </w:tcPr>
          <w:p>
            <w:pPr>
              <w:pStyle w:val="0"/>
            </w:pPr>
            <w:r>
              <w:rPr>
                <w:sz w:val="24"/>
              </w:rPr>
            </w:r>
          </w:p>
        </w:tc>
        <w:tc>
          <w:tcPr>
            <w:tcW w:w="475" w:type="dxa"/>
          </w:tcPr>
          <w:p>
            <w:pPr>
              <w:pStyle w:val="0"/>
            </w:pPr>
            <w:r>
              <w:rPr>
                <w:sz w:val="24"/>
              </w:rPr>
            </w:r>
          </w:p>
        </w:tc>
        <w:tc>
          <w:tcPr>
            <w:tcW w:w="475" w:type="dxa"/>
          </w:tcPr>
          <w:p>
            <w:pPr>
              <w:pStyle w:val="0"/>
            </w:pPr>
            <w:r>
              <w:rPr>
                <w:sz w:val="24"/>
              </w:rPr>
            </w:r>
          </w:p>
        </w:tc>
        <w:tc>
          <w:tcPr>
            <w:tcW w:w="475" w:type="dxa"/>
          </w:tcPr>
          <w:p>
            <w:pPr>
              <w:pStyle w:val="0"/>
            </w:pPr>
            <w:r>
              <w:rPr>
                <w:sz w:val="24"/>
              </w:rPr>
            </w:r>
          </w:p>
        </w:tc>
        <w:tc>
          <w:tcPr>
            <w:tcW w:w="475" w:type="dxa"/>
          </w:tcPr>
          <w:p>
            <w:pPr>
              <w:pStyle w:val="0"/>
            </w:pPr>
            <w:r>
              <w:rPr>
                <w:sz w:val="24"/>
              </w:rPr>
            </w:r>
          </w:p>
        </w:tc>
        <w:tc>
          <w:tcPr>
            <w:tcW w:w="475" w:type="dxa"/>
          </w:tcPr>
          <w:p>
            <w:pPr>
              <w:pStyle w:val="0"/>
            </w:pPr>
            <w:r>
              <w:rPr>
                <w:sz w:val="24"/>
              </w:rPr>
            </w:r>
          </w:p>
        </w:tc>
        <w:tc>
          <w:tcPr>
            <w:tcW w:w="488" w:type="dxa"/>
          </w:tcPr>
          <w:p>
            <w:pPr>
              <w:pStyle w:val="0"/>
            </w:pPr>
            <w:r>
              <w:rPr>
                <w:sz w:val="24"/>
              </w:rPr>
            </w:r>
          </w:p>
        </w:tc>
      </w:tr>
      <w:tr>
        <w:tc>
          <w:tcPr>
            <w:tcW w:w="964" w:type="dxa"/>
          </w:tcPr>
          <w:p>
            <w:pPr>
              <w:pStyle w:val="0"/>
              <w:jc w:val="center"/>
            </w:pPr>
            <w:r>
              <w:rPr>
                <w:sz w:val="24"/>
              </w:rPr>
              <w:t xml:space="preserve">7</w:t>
            </w:r>
          </w:p>
        </w:tc>
        <w:tc>
          <w:tcPr>
            <w:tcW w:w="475" w:type="dxa"/>
          </w:tcPr>
          <w:p>
            <w:pPr>
              <w:pStyle w:val="0"/>
            </w:pPr>
            <w:r>
              <w:rPr>
                <w:sz w:val="24"/>
              </w:rPr>
            </w:r>
          </w:p>
        </w:tc>
        <w:tc>
          <w:tcPr>
            <w:tcW w:w="475" w:type="dxa"/>
          </w:tcPr>
          <w:p>
            <w:pPr>
              <w:pStyle w:val="0"/>
            </w:pPr>
            <w:r>
              <w:rPr>
                <w:sz w:val="24"/>
              </w:rPr>
            </w:r>
          </w:p>
        </w:tc>
        <w:tc>
          <w:tcPr>
            <w:tcW w:w="475" w:type="dxa"/>
          </w:tcPr>
          <w:p>
            <w:pPr>
              <w:pStyle w:val="0"/>
            </w:pPr>
            <w:r>
              <w:rPr>
                <w:sz w:val="24"/>
              </w:rPr>
            </w:r>
          </w:p>
        </w:tc>
        <w:tc>
          <w:tcPr>
            <w:tcW w:w="475" w:type="dxa"/>
          </w:tcPr>
          <w:p>
            <w:pPr>
              <w:pStyle w:val="0"/>
            </w:pPr>
            <w:r>
              <w:rPr>
                <w:sz w:val="24"/>
              </w:rPr>
            </w:r>
          </w:p>
        </w:tc>
        <w:tc>
          <w:tcPr>
            <w:tcW w:w="475" w:type="dxa"/>
          </w:tcPr>
          <w:p>
            <w:pPr>
              <w:pStyle w:val="0"/>
            </w:pPr>
            <w:r>
              <w:rPr>
                <w:sz w:val="24"/>
              </w:rPr>
            </w:r>
          </w:p>
        </w:tc>
        <w:tc>
          <w:tcPr>
            <w:tcW w:w="475" w:type="dxa"/>
          </w:tcPr>
          <w:p>
            <w:pPr>
              <w:pStyle w:val="0"/>
            </w:pPr>
            <w:r>
              <w:rPr>
                <w:sz w:val="24"/>
              </w:rPr>
            </w:r>
          </w:p>
        </w:tc>
        <w:tc>
          <w:tcPr>
            <w:tcW w:w="475" w:type="dxa"/>
          </w:tcPr>
          <w:p>
            <w:pPr>
              <w:pStyle w:val="0"/>
            </w:pPr>
            <w:r>
              <w:rPr>
                <w:sz w:val="24"/>
              </w:rPr>
            </w:r>
          </w:p>
        </w:tc>
        <w:tc>
          <w:tcPr>
            <w:tcW w:w="475" w:type="dxa"/>
          </w:tcPr>
          <w:p>
            <w:pPr>
              <w:pStyle w:val="0"/>
            </w:pPr>
            <w:r>
              <w:rPr>
                <w:sz w:val="24"/>
              </w:rPr>
            </w:r>
          </w:p>
        </w:tc>
        <w:tc>
          <w:tcPr>
            <w:tcW w:w="475" w:type="dxa"/>
          </w:tcPr>
          <w:p>
            <w:pPr>
              <w:pStyle w:val="0"/>
            </w:pPr>
            <w:r>
              <w:rPr>
                <w:sz w:val="24"/>
              </w:rPr>
            </w:r>
          </w:p>
        </w:tc>
        <w:tc>
          <w:tcPr>
            <w:tcW w:w="475" w:type="dxa"/>
          </w:tcPr>
          <w:p>
            <w:pPr>
              <w:pStyle w:val="0"/>
            </w:pPr>
            <w:r>
              <w:rPr>
                <w:sz w:val="24"/>
              </w:rPr>
            </w:r>
          </w:p>
        </w:tc>
        <w:tc>
          <w:tcPr>
            <w:tcW w:w="475" w:type="dxa"/>
          </w:tcPr>
          <w:p>
            <w:pPr>
              <w:pStyle w:val="0"/>
            </w:pPr>
            <w:r>
              <w:rPr>
                <w:sz w:val="24"/>
              </w:rPr>
            </w:r>
          </w:p>
        </w:tc>
        <w:tc>
          <w:tcPr>
            <w:tcW w:w="475" w:type="dxa"/>
          </w:tcPr>
          <w:p>
            <w:pPr>
              <w:pStyle w:val="0"/>
            </w:pPr>
            <w:r>
              <w:rPr>
                <w:sz w:val="24"/>
              </w:rPr>
            </w:r>
          </w:p>
        </w:tc>
        <w:tc>
          <w:tcPr>
            <w:tcW w:w="475" w:type="dxa"/>
          </w:tcPr>
          <w:p>
            <w:pPr>
              <w:pStyle w:val="0"/>
            </w:pPr>
            <w:r>
              <w:rPr>
                <w:sz w:val="24"/>
              </w:rPr>
            </w:r>
          </w:p>
        </w:tc>
        <w:tc>
          <w:tcPr>
            <w:tcW w:w="475" w:type="dxa"/>
          </w:tcPr>
          <w:p>
            <w:pPr>
              <w:pStyle w:val="0"/>
            </w:pPr>
            <w:r>
              <w:rPr>
                <w:sz w:val="24"/>
              </w:rPr>
            </w:r>
          </w:p>
        </w:tc>
        <w:tc>
          <w:tcPr>
            <w:tcW w:w="475" w:type="dxa"/>
          </w:tcPr>
          <w:p>
            <w:pPr>
              <w:pStyle w:val="0"/>
            </w:pPr>
            <w:r>
              <w:rPr>
                <w:sz w:val="24"/>
              </w:rPr>
            </w:r>
          </w:p>
        </w:tc>
        <w:tc>
          <w:tcPr>
            <w:tcW w:w="475" w:type="dxa"/>
          </w:tcPr>
          <w:p>
            <w:pPr>
              <w:pStyle w:val="0"/>
            </w:pPr>
            <w:r>
              <w:rPr>
                <w:sz w:val="24"/>
              </w:rPr>
            </w:r>
          </w:p>
        </w:tc>
        <w:tc>
          <w:tcPr>
            <w:tcW w:w="488" w:type="dxa"/>
          </w:tcPr>
          <w:p>
            <w:pPr>
              <w:pStyle w:val="0"/>
            </w:pPr>
            <w:r>
              <w:rPr>
                <w:sz w:val="24"/>
              </w:rPr>
            </w:r>
          </w:p>
        </w:tc>
      </w:tr>
      <w:tr>
        <w:tc>
          <w:tcPr>
            <w:tcW w:w="964" w:type="dxa"/>
          </w:tcPr>
          <w:p>
            <w:pPr>
              <w:pStyle w:val="0"/>
              <w:jc w:val="center"/>
            </w:pPr>
            <w:r>
              <w:rPr>
                <w:sz w:val="24"/>
              </w:rPr>
              <w:t xml:space="preserve">8</w:t>
            </w:r>
          </w:p>
        </w:tc>
        <w:tc>
          <w:tcPr>
            <w:tcW w:w="475" w:type="dxa"/>
          </w:tcPr>
          <w:p>
            <w:pPr>
              <w:pStyle w:val="0"/>
            </w:pPr>
            <w:r>
              <w:rPr>
                <w:sz w:val="24"/>
              </w:rPr>
            </w:r>
          </w:p>
        </w:tc>
        <w:tc>
          <w:tcPr>
            <w:tcW w:w="475" w:type="dxa"/>
          </w:tcPr>
          <w:p>
            <w:pPr>
              <w:pStyle w:val="0"/>
            </w:pPr>
            <w:r>
              <w:rPr>
                <w:sz w:val="24"/>
              </w:rPr>
            </w:r>
          </w:p>
        </w:tc>
        <w:tc>
          <w:tcPr>
            <w:tcW w:w="475" w:type="dxa"/>
          </w:tcPr>
          <w:p>
            <w:pPr>
              <w:pStyle w:val="0"/>
            </w:pPr>
            <w:r>
              <w:rPr>
                <w:sz w:val="24"/>
              </w:rPr>
            </w:r>
          </w:p>
        </w:tc>
        <w:tc>
          <w:tcPr>
            <w:tcW w:w="475" w:type="dxa"/>
          </w:tcPr>
          <w:p>
            <w:pPr>
              <w:pStyle w:val="0"/>
            </w:pPr>
            <w:r>
              <w:rPr>
                <w:sz w:val="24"/>
              </w:rPr>
            </w:r>
          </w:p>
        </w:tc>
        <w:tc>
          <w:tcPr>
            <w:tcW w:w="475" w:type="dxa"/>
          </w:tcPr>
          <w:p>
            <w:pPr>
              <w:pStyle w:val="0"/>
            </w:pPr>
            <w:r>
              <w:rPr>
                <w:sz w:val="24"/>
              </w:rPr>
            </w:r>
          </w:p>
        </w:tc>
        <w:tc>
          <w:tcPr>
            <w:tcW w:w="475" w:type="dxa"/>
          </w:tcPr>
          <w:p>
            <w:pPr>
              <w:pStyle w:val="0"/>
            </w:pPr>
            <w:r>
              <w:rPr>
                <w:sz w:val="24"/>
              </w:rPr>
            </w:r>
          </w:p>
        </w:tc>
        <w:tc>
          <w:tcPr>
            <w:tcW w:w="475" w:type="dxa"/>
          </w:tcPr>
          <w:p>
            <w:pPr>
              <w:pStyle w:val="0"/>
            </w:pPr>
            <w:r>
              <w:rPr>
                <w:sz w:val="24"/>
              </w:rPr>
            </w:r>
          </w:p>
        </w:tc>
        <w:tc>
          <w:tcPr>
            <w:tcW w:w="475" w:type="dxa"/>
          </w:tcPr>
          <w:p>
            <w:pPr>
              <w:pStyle w:val="0"/>
            </w:pPr>
            <w:r>
              <w:rPr>
                <w:sz w:val="24"/>
              </w:rPr>
            </w:r>
          </w:p>
        </w:tc>
        <w:tc>
          <w:tcPr>
            <w:tcW w:w="475" w:type="dxa"/>
          </w:tcPr>
          <w:p>
            <w:pPr>
              <w:pStyle w:val="0"/>
            </w:pPr>
            <w:r>
              <w:rPr>
                <w:sz w:val="24"/>
              </w:rPr>
            </w:r>
          </w:p>
        </w:tc>
        <w:tc>
          <w:tcPr>
            <w:tcW w:w="475" w:type="dxa"/>
          </w:tcPr>
          <w:p>
            <w:pPr>
              <w:pStyle w:val="0"/>
            </w:pPr>
            <w:r>
              <w:rPr>
                <w:sz w:val="24"/>
              </w:rPr>
            </w:r>
          </w:p>
        </w:tc>
        <w:tc>
          <w:tcPr>
            <w:tcW w:w="475" w:type="dxa"/>
          </w:tcPr>
          <w:p>
            <w:pPr>
              <w:pStyle w:val="0"/>
            </w:pPr>
            <w:r>
              <w:rPr>
                <w:sz w:val="24"/>
              </w:rPr>
            </w:r>
          </w:p>
        </w:tc>
        <w:tc>
          <w:tcPr>
            <w:tcW w:w="475" w:type="dxa"/>
          </w:tcPr>
          <w:p>
            <w:pPr>
              <w:pStyle w:val="0"/>
            </w:pPr>
            <w:r>
              <w:rPr>
                <w:sz w:val="24"/>
              </w:rPr>
            </w:r>
          </w:p>
        </w:tc>
        <w:tc>
          <w:tcPr>
            <w:tcW w:w="475" w:type="dxa"/>
          </w:tcPr>
          <w:p>
            <w:pPr>
              <w:pStyle w:val="0"/>
            </w:pPr>
            <w:r>
              <w:rPr>
                <w:sz w:val="24"/>
              </w:rPr>
            </w:r>
          </w:p>
        </w:tc>
        <w:tc>
          <w:tcPr>
            <w:tcW w:w="475" w:type="dxa"/>
          </w:tcPr>
          <w:p>
            <w:pPr>
              <w:pStyle w:val="0"/>
            </w:pPr>
            <w:r>
              <w:rPr>
                <w:sz w:val="24"/>
              </w:rPr>
            </w:r>
          </w:p>
        </w:tc>
        <w:tc>
          <w:tcPr>
            <w:tcW w:w="475" w:type="dxa"/>
          </w:tcPr>
          <w:p>
            <w:pPr>
              <w:pStyle w:val="0"/>
            </w:pPr>
            <w:r>
              <w:rPr>
                <w:sz w:val="24"/>
              </w:rPr>
            </w:r>
          </w:p>
        </w:tc>
        <w:tc>
          <w:tcPr>
            <w:tcW w:w="475" w:type="dxa"/>
          </w:tcPr>
          <w:p>
            <w:pPr>
              <w:pStyle w:val="0"/>
            </w:pPr>
            <w:r>
              <w:rPr>
                <w:sz w:val="24"/>
              </w:rPr>
            </w:r>
          </w:p>
        </w:tc>
        <w:tc>
          <w:tcPr>
            <w:tcW w:w="488" w:type="dxa"/>
          </w:tcPr>
          <w:p>
            <w:pPr>
              <w:pStyle w:val="0"/>
            </w:pPr>
            <w:r>
              <w:rPr>
                <w:sz w:val="24"/>
              </w:rPr>
            </w:r>
          </w:p>
        </w:tc>
      </w:tr>
      <w:tr>
        <w:tc>
          <w:tcPr>
            <w:tcW w:w="964" w:type="dxa"/>
          </w:tcPr>
          <w:p>
            <w:pPr>
              <w:pStyle w:val="0"/>
              <w:jc w:val="center"/>
            </w:pPr>
            <w:r>
              <w:rPr>
                <w:sz w:val="24"/>
              </w:rPr>
              <w:t xml:space="preserve">9</w:t>
            </w:r>
          </w:p>
        </w:tc>
        <w:tc>
          <w:tcPr>
            <w:tcW w:w="475" w:type="dxa"/>
          </w:tcPr>
          <w:p>
            <w:pPr>
              <w:pStyle w:val="0"/>
            </w:pPr>
            <w:r>
              <w:rPr>
                <w:sz w:val="24"/>
              </w:rPr>
            </w:r>
          </w:p>
        </w:tc>
        <w:tc>
          <w:tcPr>
            <w:tcW w:w="475" w:type="dxa"/>
          </w:tcPr>
          <w:p>
            <w:pPr>
              <w:pStyle w:val="0"/>
            </w:pPr>
            <w:r>
              <w:rPr>
                <w:sz w:val="24"/>
              </w:rPr>
            </w:r>
          </w:p>
        </w:tc>
        <w:tc>
          <w:tcPr>
            <w:tcW w:w="475" w:type="dxa"/>
          </w:tcPr>
          <w:p>
            <w:pPr>
              <w:pStyle w:val="0"/>
            </w:pPr>
            <w:r>
              <w:rPr>
                <w:sz w:val="24"/>
              </w:rPr>
            </w:r>
          </w:p>
        </w:tc>
        <w:tc>
          <w:tcPr>
            <w:tcW w:w="475" w:type="dxa"/>
          </w:tcPr>
          <w:p>
            <w:pPr>
              <w:pStyle w:val="0"/>
            </w:pPr>
            <w:r>
              <w:rPr>
                <w:sz w:val="24"/>
              </w:rPr>
            </w:r>
          </w:p>
        </w:tc>
        <w:tc>
          <w:tcPr>
            <w:tcW w:w="475" w:type="dxa"/>
          </w:tcPr>
          <w:p>
            <w:pPr>
              <w:pStyle w:val="0"/>
            </w:pPr>
            <w:r>
              <w:rPr>
                <w:sz w:val="24"/>
              </w:rPr>
            </w:r>
          </w:p>
        </w:tc>
        <w:tc>
          <w:tcPr>
            <w:tcW w:w="475" w:type="dxa"/>
          </w:tcPr>
          <w:p>
            <w:pPr>
              <w:pStyle w:val="0"/>
            </w:pPr>
            <w:r>
              <w:rPr>
                <w:sz w:val="24"/>
              </w:rPr>
            </w:r>
          </w:p>
        </w:tc>
        <w:tc>
          <w:tcPr>
            <w:tcW w:w="475" w:type="dxa"/>
          </w:tcPr>
          <w:p>
            <w:pPr>
              <w:pStyle w:val="0"/>
            </w:pPr>
            <w:r>
              <w:rPr>
                <w:sz w:val="24"/>
              </w:rPr>
            </w:r>
          </w:p>
        </w:tc>
        <w:tc>
          <w:tcPr>
            <w:tcW w:w="475" w:type="dxa"/>
          </w:tcPr>
          <w:p>
            <w:pPr>
              <w:pStyle w:val="0"/>
            </w:pPr>
            <w:r>
              <w:rPr>
                <w:sz w:val="24"/>
              </w:rPr>
            </w:r>
          </w:p>
        </w:tc>
        <w:tc>
          <w:tcPr>
            <w:tcW w:w="475" w:type="dxa"/>
          </w:tcPr>
          <w:p>
            <w:pPr>
              <w:pStyle w:val="0"/>
            </w:pPr>
            <w:r>
              <w:rPr>
                <w:sz w:val="24"/>
              </w:rPr>
            </w:r>
          </w:p>
        </w:tc>
        <w:tc>
          <w:tcPr>
            <w:tcW w:w="475" w:type="dxa"/>
          </w:tcPr>
          <w:p>
            <w:pPr>
              <w:pStyle w:val="0"/>
            </w:pPr>
            <w:r>
              <w:rPr>
                <w:sz w:val="24"/>
              </w:rPr>
            </w:r>
          </w:p>
        </w:tc>
        <w:tc>
          <w:tcPr>
            <w:tcW w:w="475" w:type="dxa"/>
          </w:tcPr>
          <w:p>
            <w:pPr>
              <w:pStyle w:val="0"/>
            </w:pPr>
            <w:r>
              <w:rPr>
                <w:sz w:val="24"/>
              </w:rPr>
            </w:r>
          </w:p>
        </w:tc>
        <w:tc>
          <w:tcPr>
            <w:tcW w:w="475" w:type="dxa"/>
          </w:tcPr>
          <w:p>
            <w:pPr>
              <w:pStyle w:val="0"/>
            </w:pPr>
            <w:r>
              <w:rPr>
                <w:sz w:val="24"/>
              </w:rPr>
            </w:r>
          </w:p>
        </w:tc>
        <w:tc>
          <w:tcPr>
            <w:tcW w:w="475" w:type="dxa"/>
          </w:tcPr>
          <w:p>
            <w:pPr>
              <w:pStyle w:val="0"/>
            </w:pPr>
            <w:r>
              <w:rPr>
                <w:sz w:val="24"/>
              </w:rPr>
            </w:r>
          </w:p>
        </w:tc>
        <w:tc>
          <w:tcPr>
            <w:tcW w:w="475" w:type="dxa"/>
          </w:tcPr>
          <w:p>
            <w:pPr>
              <w:pStyle w:val="0"/>
            </w:pPr>
            <w:r>
              <w:rPr>
                <w:sz w:val="24"/>
              </w:rPr>
            </w:r>
          </w:p>
        </w:tc>
        <w:tc>
          <w:tcPr>
            <w:tcW w:w="475" w:type="dxa"/>
          </w:tcPr>
          <w:p>
            <w:pPr>
              <w:pStyle w:val="0"/>
            </w:pPr>
            <w:r>
              <w:rPr>
                <w:sz w:val="24"/>
              </w:rPr>
            </w:r>
          </w:p>
        </w:tc>
        <w:tc>
          <w:tcPr>
            <w:tcW w:w="475" w:type="dxa"/>
          </w:tcPr>
          <w:p>
            <w:pPr>
              <w:pStyle w:val="0"/>
            </w:pPr>
            <w:r>
              <w:rPr>
                <w:sz w:val="24"/>
              </w:rPr>
            </w:r>
          </w:p>
        </w:tc>
        <w:tc>
          <w:tcPr>
            <w:tcW w:w="488" w:type="dxa"/>
          </w:tcPr>
          <w:p>
            <w:pPr>
              <w:pStyle w:val="0"/>
            </w:pPr>
            <w:r>
              <w:rPr>
                <w:sz w:val="24"/>
              </w:rPr>
            </w:r>
          </w:p>
        </w:tc>
      </w:tr>
      <w:tr>
        <w:tc>
          <w:tcPr>
            <w:tcW w:w="964" w:type="dxa"/>
          </w:tcPr>
          <w:p>
            <w:pPr>
              <w:pStyle w:val="0"/>
              <w:jc w:val="center"/>
            </w:pPr>
            <w:r>
              <w:rPr>
                <w:sz w:val="24"/>
              </w:rPr>
              <w:t xml:space="preserve">ВСЕГО</w:t>
            </w:r>
          </w:p>
        </w:tc>
        <w:tc>
          <w:tcPr>
            <w:tcW w:w="475" w:type="dxa"/>
          </w:tcPr>
          <w:p>
            <w:pPr>
              <w:pStyle w:val="0"/>
            </w:pPr>
            <w:r>
              <w:rPr>
                <w:sz w:val="24"/>
              </w:rPr>
            </w:r>
          </w:p>
        </w:tc>
        <w:tc>
          <w:tcPr>
            <w:tcW w:w="475" w:type="dxa"/>
          </w:tcPr>
          <w:p>
            <w:pPr>
              <w:pStyle w:val="0"/>
            </w:pPr>
            <w:r>
              <w:rPr>
                <w:sz w:val="24"/>
              </w:rPr>
            </w:r>
          </w:p>
        </w:tc>
        <w:tc>
          <w:tcPr>
            <w:tcW w:w="475" w:type="dxa"/>
          </w:tcPr>
          <w:p>
            <w:pPr>
              <w:pStyle w:val="0"/>
            </w:pPr>
            <w:r>
              <w:rPr>
                <w:sz w:val="24"/>
              </w:rPr>
            </w:r>
          </w:p>
        </w:tc>
        <w:tc>
          <w:tcPr>
            <w:tcW w:w="475" w:type="dxa"/>
          </w:tcPr>
          <w:p>
            <w:pPr>
              <w:pStyle w:val="0"/>
            </w:pPr>
            <w:r>
              <w:rPr>
                <w:sz w:val="24"/>
              </w:rPr>
            </w:r>
          </w:p>
        </w:tc>
        <w:tc>
          <w:tcPr>
            <w:tcW w:w="475" w:type="dxa"/>
          </w:tcPr>
          <w:p>
            <w:pPr>
              <w:pStyle w:val="0"/>
            </w:pPr>
            <w:r>
              <w:rPr>
                <w:sz w:val="24"/>
              </w:rPr>
            </w:r>
          </w:p>
        </w:tc>
        <w:tc>
          <w:tcPr>
            <w:tcW w:w="475" w:type="dxa"/>
          </w:tcPr>
          <w:p>
            <w:pPr>
              <w:pStyle w:val="0"/>
            </w:pPr>
            <w:r>
              <w:rPr>
                <w:sz w:val="24"/>
              </w:rPr>
            </w:r>
          </w:p>
        </w:tc>
        <w:tc>
          <w:tcPr>
            <w:tcW w:w="475" w:type="dxa"/>
          </w:tcPr>
          <w:p>
            <w:pPr>
              <w:pStyle w:val="0"/>
            </w:pPr>
            <w:r>
              <w:rPr>
                <w:sz w:val="24"/>
              </w:rPr>
            </w:r>
          </w:p>
        </w:tc>
        <w:tc>
          <w:tcPr>
            <w:tcW w:w="475" w:type="dxa"/>
          </w:tcPr>
          <w:p>
            <w:pPr>
              <w:pStyle w:val="0"/>
            </w:pPr>
            <w:r>
              <w:rPr>
                <w:sz w:val="24"/>
              </w:rPr>
            </w:r>
          </w:p>
        </w:tc>
        <w:tc>
          <w:tcPr>
            <w:tcW w:w="475" w:type="dxa"/>
          </w:tcPr>
          <w:p>
            <w:pPr>
              <w:pStyle w:val="0"/>
            </w:pPr>
            <w:r>
              <w:rPr>
                <w:sz w:val="24"/>
              </w:rPr>
            </w:r>
          </w:p>
        </w:tc>
        <w:tc>
          <w:tcPr>
            <w:tcW w:w="475" w:type="dxa"/>
          </w:tcPr>
          <w:p>
            <w:pPr>
              <w:pStyle w:val="0"/>
            </w:pPr>
            <w:r>
              <w:rPr>
                <w:sz w:val="24"/>
              </w:rPr>
            </w:r>
          </w:p>
        </w:tc>
        <w:tc>
          <w:tcPr>
            <w:tcW w:w="475" w:type="dxa"/>
          </w:tcPr>
          <w:p>
            <w:pPr>
              <w:pStyle w:val="0"/>
            </w:pPr>
            <w:r>
              <w:rPr>
                <w:sz w:val="24"/>
              </w:rPr>
            </w:r>
          </w:p>
        </w:tc>
        <w:tc>
          <w:tcPr>
            <w:tcW w:w="475" w:type="dxa"/>
          </w:tcPr>
          <w:p>
            <w:pPr>
              <w:pStyle w:val="0"/>
            </w:pPr>
            <w:r>
              <w:rPr>
                <w:sz w:val="24"/>
              </w:rPr>
            </w:r>
          </w:p>
        </w:tc>
        <w:tc>
          <w:tcPr>
            <w:tcW w:w="475" w:type="dxa"/>
          </w:tcPr>
          <w:p>
            <w:pPr>
              <w:pStyle w:val="0"/>
            </w:pPr>
            <w:r>
              <w:rPr>
                <w:sz w:val="24"/>
              </w:rPr>
            </w:r>
          </w:p>
        </w:tc>
        <w:tc>
          <w:tcPr>
            <w:tcW w:w="475" w:type="dxa"/>
          </w:tcPr>
          <w:p>
            <w:pPr>
              <w:pStyle w:val="0"/>
            </w:pPr>
            <w:r>
              <w:rPr>
                <w:sz w:val="24"/>
              </w:rPr>
            </w:r>
          </w:p>
        </w:tc>
        <w:tc>
          <w:tcPr>
            <w:tcW w:w="475" w:type="dxa"/>
          </w:tcPr>
          <w:p>
            <w:pPr>
              <w:pStyle w:val="0"/>
            </w:pPr>
            <w:r>
              <w:rPr>
                <w:sz w:val="24"/>
              </w:rPr>
            </w:r>
          </w:p>
        </w:tc>
        <w:tc>
          <w:tcPr>
            <w:tcW w:w="475" w:type="dxa"/>
          </w:tcPr>
          <w:p>
            <w:pPr>
              <w:pStyle w:val="0"/>
            </w:pPr>
            <w:r>
              <w:rPr>
                <w:sz w:val="24"/>
              </w:rPr>
            </w:r>
          </w:p>
        </w:tc>
        <w:tc>
          <w:tcPr>
            <w:tcW w:w="488" w:type="dxa"/>
          </w:tcPr>
          <w:p>
            <w:pPr>
              <w:pStyle w:val="0"/>
            </w:pPr>
            <w:r>
              <w:rPr>
                <w:sz w:val="24"/>
              </w:rPr>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567"/>
        <w:gridCol w:w="454"/>
        <w:gridCol w:w="3458"/>
        <w:gridCol w:w="567"/>
        <w:gridCol w:w="4025"/>
      </w:tblGrid>
      <w:tr>
        <w:tc>
          <w:tcPr>
            <w:gridSpan w:val="5"/>
            <w:tcW w:w="9071" w:type="dxa"/>
            <w:tcBorders>
              <w:top w:val="nil"/>
              <w:left w:val="nil"/>
              <w:bottom w:val="nil"/>
              <w:right w:val="nil"/>
            </w:tcBorders>
          </w:tcPr>
          <w:p>
            <w:pPr>
              <w:pStyle w:val="0"/>
              <w:jc w:val="both"/>
            </w:pPr>
            <w:r>
              <w:rPr>
                <w:sz w:val="24"/>
              </w:rPr>
              <w:t xml:space="preserve">Примечания:</w:t>
            </w:r>
          </w:p>
        </w:tc>
      </w:tr>
      <w:tr>
        <w:tc>
          <w:tcPr>
            <w:tcW w:w="567" w:type="dxa"/>
            <w:tcBorders>
              <w:top w:val="nil"/>
              <w:left w:val="nil"/>
              <w:bottom w:val="nil"/>
              <w:right w:val="nil"/>
            </w:tcBorders>
          </w:tcPr>
          <w:bookmarkStart w:id="1426" w:name="P1426"/>
          <w:bookmarkEnd w:id="1426"/>
          <w:p>
            <w:pPr>
              <w:pStyle w:val="0"/>
            </w:pPr>
            <w:r>
              <w:rPr>
                <w:sz w:val="24"/>
              </w:rPr>
              <w:t xml:space="preserve">&lt;1&gt;</w:t>
            </w:r>
          </w:p>
        </w:tc>
        <w:tc>
          <w:tcPr>
            <w:gridSpan w:val="4"/>
            <w:tcW w:w="8504" w:type="dxa"/>
            <w:tcBorders>
              <w:top w:val="nil"/>
              <w:left w:val="nil"/>
              <w:bottom w:val="nil"/>
              <w:right w:val="nil"/>
            </w:tcBorders>
          </w:tcPr>
          <w:p>
            <w:pPr>
              <w:pStyle w:val="0"/>
            </w:pPr>
            <w:r>
              <w:rPr>
                <w:sz w:val="24"/>
              </w:rPr>
              <w:t xml:space="preserve">Виды организаций соответствуют их номерам в </w:t>
            </w:r>
            <w:hyperlink w:history="0" w:anchor="P1109" w:tooltip="N п/п">
              <w:r>
                <w:rPr>
                  <w:sz w:val="24"/>
                  <w:color w:val="0000ff"/>
                </w:rPr>
                <w:t xml:space="preserve">таблице</w:t>
              </w:r>
            </w:hyperlink>
            <w:r>
              <w:rPr>
                <w:sz w:val="24"/>
              </w:rPr>
              <w:t xml:space="preserve"> п. 1</w:t>
            </w:r>
          </w:p>
        </w:tc>
      </w:tr>
      <w:tr>
        <w:tc>
          <w:tcPr>
            <w:tcW w:w="567" w:type="dxa"/>
            <w:tcBorders>
              <w:top w:val="nil"/>
              <w:left w:val="nil"/>
              <w:bottom w:val="nil"/>
              <w:right w:val="nil"/>
            </w:tcBorders>
          </w:tcPr>
          <w:bookmarkStart w:id="1428" w:name="P1428"/>
          <w:bookmarkEnd w:id="1428"/>
          <w:p>
            <w:pPr>
              <w:pStyle w:val="0"/>
            </w:pPr>
            <w:r>
              <w:rPr>
                <w:sz w:val="24"/>
              </w:rPr>
              <w:t xml:space="preserve">&lt;2&gt;</w:t>
            </w:r>
          </w:p>
        </w:tc>
        <w:tc>
          <w:tcPr>
            <w:gridSpan w:val="4"/>
            <w:tcW w:w="8504" w:type="dxa"/>
            <w:tcBorders>
              <w:top w:val="nil"/>
              <w:left w:val="nil"/>
              <w:bottom w:val="nil"/>
              <w:right w:val="nil"/>
            </w:tcBorders>
          </w:tcPr>
          <w:p>
            <w:pPr>
              <w:pStyle w:val="0"/>
            </w:pPr>
            <w:r>
              <w:rPr>
                <w:sz w:val="24"/>
              </w:rPr>
              <w:t xml:space="preserve">Приведенные номера соответствуют следующим типам установок с ИИИ:</w:t>
            </w:r>
          </w:p>
        </w:tc>
      </w:tr>
      <w:tr>
        <w:tc>
          <w:tcPr>
            <w:tcW w:w="567" w:type="dxa"/>
            <w:tcBorders>
              <w:top w:val="nil"/>
              <w:left w:val="nil"/>
              <w:bottom w:val="nil"/>
              <w:right w:val="nil"/>
            </w:tcBorders>
          </w:tcPr>
          <w:p>
            <w:pPr>
              <w:pStyle w:val="0"/>
            </w:pPr>
            <w:r>
              <w:rPr>
                <w:sz w:val="24"/>
              </w:rPr>
            </w:r>
          </w:p>
        </w:tc>
        <w:tc>
          <w:tcPr>
            <w:tcW w:w="454" w:type="dxa"/>
            <w:tcBorders>
              <w:top w:val="nil"/>
              <w:left w:val="nil"/>
              <w:bottom w:val="nil"/>
              <w:right w:val="nil"/>
            </w:tcBorders>
          </w:tcPr>
          <w:p>
            <w:pPr>
              <w:pStyle w:val="0"/>
            </w:pPr>
            <w:r>
              <w:rPr>
                <w:sz w:val="24"/>
              </w:rPr>
              <w:t xml:space="preserve">1 -</w:t>
            </w:r>
          </w:p>
        </w:tc>
        <w:tc>
          <w:tcPr>
            <w:tcW w:w="3458" w:type="dxa"/>
            <w:tcBorders>
              <w:top w:val="nil"/>
              <w:left w:val="nil"/>
              <w:bottom w:val="nil"/>
              <w:right w:val="nil"/>
            </w:tcBorders>
          </w:tcPr>
          <w:p>
            <w:pPr>
              <w:pStyle w:val="0"/>
            </w:pPr>
            <w:r>
              <w:rPr>
                <w:sz w:val="24"/>
              </w:rPr>
              <w:t xml:space="preserve">Гамма-дефектоскопы.</w:t>
            </w:r>
          </w:p>
        </w:tc>
        <w:tc>
          <w:tcPr>
            <w:tcW w:w="567" w:type="dxa"/>
            <w:tcBorders>
              <w:top w:val="nil"/>
              <w:left w:val="nil"/>
              <w:bottom w:val="nil"/>
              <w:right w:val="nil"/>
            </w:tcBorders>
          </w:tcPr>
          <w:p>
            <w:pPr>
              <w:pStyle w:val="0"/>
            </w:pPr>
            <w:r>
              <w:rPr>
                <w:sz w:val="24"/>
              </w:rPr>
              <w:t xml:space="preserve">10 -</w:t>
            </w:r>
          </w:p>
        </w:tc>
        <w:tc>
          <w:tcPr>
            <w:tcW w:w="4025" w:type="dxa"/>
            <w:tcBorders>
              <w:top w:val="nil"/>
              <w:left w:val="nil"/>
              <w:bottom w:val="nil"/>
              <w:right w:val="nil"/>
            </w:tcBorders>
          </w:tcPr>
          <w:p>
            <w:pPr>
              <w:pStyle w:val="0"/>
            </w:pPr>
            <w:r>
              <w:rPr>
                <w:sz w:val="24"/>
              </w:rPr>
              <w:t xml:space="preserve">Ускорители заряженных частиц (кроме электронов).</w:t>
            </w:r>
          </w:p>
        </w:tc>
      </w:tr>
      <w:tr>
        <w:tc>
          <w:tcPr>
            <w:tcW w:w="567" w:type="dxa"/>
            <w:tcBorders>
              <w:top w:val="nil"/>
              <w:left w:val="nil"/>
              <w:bottom w:val="nil"/>
              <w:right w:val="nil"/>
            </w:tcBorders>
          </w:tcPr>
          <w:p>
            <w:pPr>
              <w:pStyle w:val="0"/>
            </w:pPr>
            <w:r>
              <w:rPr>
                <w:sz w:val="24"/>
              </w:rPr>
            </w:r>
          </w:p>
        </w:tc>
        <w:tc>
          <w:tcPr>
            <w:tcW w:w="454" w:type="dxa"/>
            <w:tcBorders>
              <w:top w:val="nil"/>
              <w:left w:val="nil"/>
              <w:bottom w:val="nil"/>
              <w:right w:val="nil"/>
            </w:tcBorders>
          </w:tcPr>
          <w:p>
            <w:pPr>
              <w:pStyle w:val="0"/>
            </w:pPr>
            <w:r>
              <w:rPr>
                <w:sz w:val="24"/>
              </w:rPr>
              <w:t xml:space="preserve">2 -</w:t>
            </w:r>
          </w:p>
        </w:tc>
        <w:tc>
          <w:tcPr>
            <w:tcW w:w="3458" w:type="dxa"/>
            <w:tcBorders>
              <w:top w:val="nil"/>
              <w:left w:val="nil"/>
              <w:bottom w:val="nil"/>
              <w:right w:val="nil"/>
            </w:tcBorders>
          </w:tcPr>
          <w:p>
            <w:pPr>
              <w:pStyle w:val="0"/>
            </w:pPr>
            <w:r>
              <w:rPr>
                <w:sz w:val="24"/>
              </w:rPr>
              <w:t xml:space="preserve">Дефектоскопы рентгеновские.</w:t>
            </w:r>
          </w:p>
        </w:tc>
        <w:tc>
          <w:tcPr>
            <w:tcW w:w="567" w:type="dxa"/>
            <w:tcBorders>
              <w:top w:val="nil"/>
              <w:left w:val="nil"/>
              <w:bottom w:val="nil"/>
              <w:right w:val="nil"/>
            </w:tcBorders>
          </w:tcPr>
          <w:p>
            <w:pPr>
              <w:pStyle w:val="0"/>
            </w:pPr>
            <w:r>
              <w:rPr>
                <w:sz w:val="24"/>
              </w:rPr>
              <w:t xml:space="preserve">11 -</w:t>
            </w:r>
          </w:p>
        </w:tc>
        <w:tc>
          <w:tcPr>
            <w:tcW w:w="4025" w:type="dxa"/>
            <w:tcBorders>
              <w:top w:val="nil"/>
              <w:left w:val="nil"/>
              <w:bottom w:val="nil"/>
              <w:right w:val="nil"/>
            </w:tcBorders>
          </w:tcPr>
          <w:p>
            <w:pPr>
              <w:pStyle w:val="0"/>
            </w:pPr>
            <w:r>
              <w:rPr>
                <w:sz w:val="24"/>
              </w:rPr>
              <w:t xml:space="preserve">Установки по переработке РАО.</w:t>
            </w:r>
          </w:p>
        </w:tc>
      </w:tr>
      <w:tr>
        <w:tc>
          <w:tcPr>
            <w:tcW w:w="567" w:type="dxa"/>
            <w:tcBorders>
              <w:top w:val="nil"/>
              <w:left w:val="nil"/>
              <w:bottom w:val="nil"/>
              <w:right w:val="nil"/>
            </w:tcBorders>
          </w:tcPr>
          <w:p>
            <w:pPr>
              <w:pStyle w:val="0"/>
            </w:pPr>
            <w:r>
              <w:rPr>
                <w:sz w:val="24"/>
              </w:rPr>
            </w:r>
          </w:p>
        </w:tc>
        <w:tc>
          <w:tcPr>
            <w:tcW w:w="454" w:type="dxa"/>
            <w:tcBorders>
              <w:top w:val="nil"/>
              <w:left w:val="nil"/>
              <w:bottom w:val="nil"/>
              <w:right w:val="nil"/>
            </w:tcBorders>
          </w:tcPr>
          <w:p>
            <w:pPr>
              <w:pStyle w:val="0"/>
            </w:pPr>
            <w:r>
              <w:rPr>
                <w:sz w:val="24"/>
              </w:rPr>
              <w:t xml:space="preserve">3 -</w:t>
            </w:r>
          </w:p>
        </w:tc>
        <w:tc>
          <w:tcPr>
            <w:tcW w:w="3458" w:type="dxa"/>
            <w:tcBorders>
              <w:top w:val="nil"/>
              <w:left w:val="nil"/>
              <w:bottom w:val="nil"/>
              <w:right w:val="nil"/>
            </w:tcBorders>
          </w:tcPr>
          <w:p>
            <w:pPr>
              <w:pStyle w:val="0"/>
            </w:pPr>
            <w:r>
              <w:rPr>
                <w:sz w:val="24"/>
              </w:rPr>
              <w:t xml:space="preserve">Досмотровые рентгеновские установки.</w:t>
            </w:r>
          </w:p>
        </w:tc>
        <w:tc>
          <w:tcPr>
            <w:tcW w:w="567" w:type="dxa"/>
            <w:tcBorders>
              <w:top w:val="nil"/>
              <w:left w:val="nil"/>
              <w:bottom w:val="nil"/>
              <w:right w:val="nil"/>
            </w:tcBorders>
          </w:tcPr>
          <w:p>
            <w:pPr>
              <w:pStyle w:val="0"/>
            </w:pPr>
            <w:r>
              <w:rPr>
                <w:sz w:val="24"/>
              </w:rPr>
              <w:t xml:space="preserve">12 -</w:t>
            </w:r>
          </w:p>
        </w:tc>
        <w:tc>
          <w:tcPr>
            <w:tcW w:w="4025" w:type="dxa"/>
            <w:tcBorders>
              <w:top w:val="nil"/>
              <w:left w:val="nil"/>
              <w:bottom w:val="nil"/>
              <w:right w:val="nil"/>
            </w:tcBorders>
          </w:tcPr>
          <w:p>
            <w:pPr>
              <w:pStyle w:val="0"/>
            </w:pPr>
            <w:r>
              <w:rPr>
                <w:sz w:val="24"/>
              </w:rPr>
              <w:t xml:space="preserve">Установки с ускорителем электронов.</w:t>
            </w:r>
          </w:p>
        </w:tc>
      </w:tr>
      <w:tr>
        <w:tc>
          <w:tcPr>
            <w:tcW w:w="567" w:type="dxa"/>
            <w:tcBorders>
              <w:top w:val="nil"/>
              <w:left w:val="nil"/>
              <w:bottom w:val="nil"/>
              <w:right w:val="nil"/>
            </w:tcBorders>
          </w:tcPr>
          <w:p>
            <w:pPr>
              <w:pStyle w:val="0"/>
            </w:pPr>
            <w:r>
              <w:rPr>
                <w:sz w:val="24"/>
              </w:rPr>
            </w:r>
          </w:p>
        </w:tc>
        <w:tc>
          <w:tcPr>
            <w:tcW w:w="454" w:type="dxa"/>
            <w:tcBorders>
              <w:top w:val="nil"/>
              <w:left w:val="nil"/>
              <w:bottom w:val="nil"/>
              <w:right w:val="nil"/>
            </w:tcBorders>
          </w:tcPr>
          <w:p>
            <w:pPr>
              <w:pStyle w:val="0"/>
            </w:pPr>
            <w:r>
              <w:rPr>
                <w:sz w:val="24"/>
              </w:rPr>
              <w:t xml:space="preserve">4 -</w:t>
            </w:r>
          </w:p>
        </w:tc>
        <w:tc>
          <w:tcPr>
            <w:tcW w:w="3458" w:type="dxa"/>
            <w:tcBorders>
              <w:top w:val="nil"/>
              <w:left w:val="nil"/>
              <w:bottom w:val="nil"/>
              <w:right w:val="nil"/>
            </w:tcBorders>
          </w:tcPr>
          <w:p>
            <w:pPr>
              <w:pStyle w:val="0"/>
            </w:pPr>
            <w:r>
              <w:rPr>
                <w:sz w:val="24"/>
              </w:rPr>
              <w:t xml:space="preserve">Закрытые радионуклидные источники.</w:t>
            </w:r>
          </w:p>
        </w:tc>
        <w:tc>
          <w:tcPr>
            <w:tcW w:w="567" w:type="dxa"/>
            <w:tcBorders>
              <w:top w:val="nil"/>
              <w:left w:val="nil"/>
              <w:bottom w:val="nil"/>
              <w:right w:val="nil"/>
            </w:tcBorders>
          </w:tcPr>
          <w:p>
            <w:pPr>
              <w:pStyle w:val="0"/>
            </w:pPr>
            <w:r>
              <w:rPr>
                <w:sz w:val="24"/>
              </w:rPr>
              <w:t xml:space="preserve">13 -</w:t>
            </w:r>
          </w:p>
        </w:tc>
        <w:tc>
          <w:tcPr>
            <w:tcW w:w="4025" w:type="dxa"/>
            <w:tcBorders>
              <w:top w:val="nil"/>
              <w:left w:val="nil"/>
              <w:bottom w:val="nil"/>
              <w:right w:val="nil"/>
            </w:tcBorders>
          </w:tcPr>
          <w:p>
            <w:pPr>
              <w:pStyle w:val="0"/>
            </w:pPr>
            <w:r>
              <w:rPr>
                <w:sz w:val="24"/>
              </w:rPr>
              <w:t xml:space="preserve">Хранилища отработанного ядерного топлива.</w:t>
            </w:r>
          </w:p>
        </w:tc>
      </w:tr>
      <w:tr>
        <w:tc>
          <w:tcPr>
            <w:tcW w:w="567" w:type="dxa"/>
            <w:tcBorders>
              <w:top w:val="nil"/>
              <w:left w:val="nil"/>
              <w:bottom w:val="nil"/>
              <w:right w:val="nil"/>
            </w:tcBorders>
          </w:tcPr>
          <w:p>
            <w:pPr>
              <w:pStyle w:val="0"/>
            </w:pPr>
            <w:r>
              <w:rPr>
                <w:sz w:val="24"/>
              </w:rPr>
            </w:r>
          </w:p>
        </w:tc>
        <w:tc>
          <w:tcPr>
            <w:tcW w:w="454" w:type="dxa"/>
            <w:tcBorders>
              <w:top w:val="nil"/>
              <w:left w:val="nil"/>
              <w:bottom w:val="nil"/>
              <w:right w:val="nil"/>
            </w:tcBorders>
          </w:tcPr>
          <w:p>
            <w:pPr>
              <w:pStyle w:val="0"/>
            </w:pPr>
            <w:r>
              <w:rPr>
                <w:sz w:val="24"/>
              </w:rPr>
              <w:t xml:space="preserve">5 -</w:t>
            </w:r>
          </w:p>
        </w:tc>
        <w:tc>
          <w:tcPr>
            <w:tcW w:w="3458" w:type="dxa"/>
            <w:tcBorders>
              <w:top w:val="nil"/>
              <w:left w:val="nil"/>
              <w:bottom w:val="nil"/>
              <w:right w:val="nil"/>
            </w:tcBorders>
          </w:tcPr>
          <w:p>
            <w:pPr>
              <w:pStyle w:val="0"/>
            </w:pPr>
            <w:r>
              <w:rPr>
                <w:sz w:val="24"/>
              </w:rPr>
              <w:t xml:space="preserve">Могильники (хранилища) РАО.</w:t>
            </w:r>
          </w:p>
        </w:tc>
        <w:tc>
          <w:tcPr>
            <w:tcW w:w="567" w:type="dxa"/>
            <w:tcBorders>
              <w:top w:val="nil"/>
              <w:left w:val="nil"/>
              <w:bottom w:val="nil"/>
              <w:right w:val="nil"/>
            </w:tcBorders>
          </w:tcPr>
          <w:p>
            <w:pPr>
              <w:pStyle w:val="0"/>
            </w:pPr>
            <w:r>
              <w:rPr>
                <w:sz w:val="24"/>
              </w:rPr>
              <w:t xml:space="preserve">14 -</w:t>
            </w:r>
          </w:p>
        </w:tc>
        <w:tc>
          <w:tcPr>
            <w:tcW w:w="4025" w:type="dxa"/>
            <w:tcBorders>
              <w:top w:val="nil"/>
              <w:left w:val="nil"/>
              <w:bottom w:val="nil"/>
              <w:right w:val="nil"/>
            </w:tcBorders>
          </w:tcPr>
          <w:p>
            <w:pPr>
              <w:pStyle w:val="0"/>
            </w:pPr>
            <w:r>
              <w:rPr>
                <w:sz w:val="24"/>
              </w:rPr>
              <w:t xml:space="preserve">Хранилища радиоактивных веществ.</w:t>
            </w:r>
          </w:p>
        </w:tc>
      </w:tr>
      <w:tr>
        <w:tc>
          <w:tcPr>
            <w:tcW w:w="567" w:type="dxa"/>
            <w:tcBorders>
              <w:top w:val="nil"/>
              <w:left w:val="nil"/>
              <w:bottom w:val="nil"/>
              <w:right w:val="nil"/>
            </w:tcBorders>
          </w:tcPr>
          <w:p>
            <w:pPr>
              <w:pStyle w:val="0"/>
            </w:pPr>
            <w:r>
              <w:rPr>
                <w:sz w:val="24"/>
              </w:rPr>
            </w:r>
          </w:p>
        </w:tc>
        <w:tc>
          <w:tcPr>
            <w:tcW w:w="454" w:type="dxa"/>
            <w:tcBorders>
              <w:top w:val="nil"/>
              <w:left w:val="nil"/>
              <w:bottom w:val="nil"/>
              <w:right w:val="nil"/>
            </w:tcBorders>
          </w:tcPr>
          <w:p>
            <w:pPr>
              <w:pStyle w:val="0"/>
            </w:pPr>
            <w:r>
              <w:rPr>
                <w:sz w:val="24"/>
              </w:rPr>
              <w:t xml:space="preserve">6 -</w:t>
            </w:r>
          </w:p>
        </w:tc>
        <w:tc>
          <w:tcPr>
            <w:tcW w:w="3458" w:type="dxa"/>
            <w:tcBorders>
              <w:top w:val="nil"/>
              <w:left w:val="nil"/>
              <w:bottom w:val="nil"/>
              <w:right w:val="nil"/>
            </w:tcBorders>
          </w:tcPr>
          <w:p>
            <w:pPr>
              <w:pStyle w:val="0"/>
            </w:pPr>
            <w:r>
              <w:rPr>
                <w:sz w:val="24"/>
              </w:rPr>
              <w:t xml:space="preserve">Мощные гамма-установки.</w:t>
            </w:r>
          </w:p>
        </w:tc>
        <w:tc>
          <w:tcPr>
            <w:tcW w:w="567" w:type="dxa"/>
            <w:tcBorders>
              <w:top w:val="nil"/>
              <w:left w:val="nil"/>
              <w:bottom w:val="nil"/>
              <w:right w:val="nil"/>
            </w:tcBorders>
          </w:tcPr>
          <w:p>
            <w:pPr>
              <w:pStyle w:val="0"/>
            </w:pPr>
            <w:r>
              <w:rPr>
                <w:sz w:val="24"/>
              </w:rPr>
              <w:t xml:space="preserve">15 -</w:t>
            </w:r>
          </w:p>
        </w:tc>
        <w:tc>
          <w:tcPr>
            <w:tcW w:w="4025" w:type="dxa"/>
            <w:tcBorders>
              <w:top w:val="nil"/>
              <w:left w:val="nil"/>
              <w:bottom w:val="nil"/>
              <w:right w:val="nil"/>
            </w:tcBorders>
          </w:tcPr>
          <w:p>
            <w:pPr>
              <w:pStyle w:val="0"/>
            </w:pPr>
            <w:r>
              <w:rPr>
                <w:sz w:val="24"/>
              </w:rPr>
              <w:t xml:space="preserve">Ядерные реакторы исследовательские и критсборки.</w:t>
            </w:r>
          </w:p>
        </w:tc>
      </w:tr>
      <w:tr>
        <w:tc>
          <w:tcPr>
            <w:tcW w:w="567" w:type="dxa"/>
            <w:tcBorders>
              <w:top w:val="nil"/>
              <w:left w:val="nil"/>
              <w:bottom w:val="nil"/>
              <w:right w:val="nil"/>
            </w:tcBorders>
          </w:tcPr>
          <w:p>
            <w:pPr>
              <w:pStyle w:val="0"/>
            </w:pPr>
            <w:r>
              <w:rPr>
                <w:sz w:val="24"/>
              </w:rPr>
            </w:r>
          </w:p>
        </w:tc>
        <w:tc>
          <w:tcPr>
            <w:tcW w:w="454" w:type="dxa"/>
            <w:tcBorders>
              <w:top w:val="nil"/>
              <w:left w:val="nil"/>
              <w:bottom w:val="nil"/>
              <w:right w:val="nil"/>
            </w:tcBorders>
          </w:tcPr>
          <w:p>
            <w:pPr>
              <w:pStyle w:val="0"/>
            </w:pPr>
            <w:r>
              <w:rPr>
                <w:sz w:val="24"/>
              </w:rPr>
              <w:t xml:space="preserve">7 -</w:t>
            </w:r>
          </w:p>
        </w:tc>
        <w:tc>
          <w:tcPr>
            <w:tcW w:w="3458" w:type="dxa"/>
            <w:tcBorders>
              <w:top w:val="nil"/>
              <w:left w:val="nil"/>
              <w:bottom w:val="nil"/>
              <w:right w:val="nil"/>
            </w:tcBorders>
          </w:tcPr>
          <w:p>
            <w:pPr>
              <w:pStyle w:val="0"/>
            </w:pPr>
            <w:r>
              <w:rPr>
                <w:sz w:val="24"/>
              </w:rPr>
              <w:t xml:space="preserve">Нейтронные генераторы.</w:t>
            </w:r>
          </w:p>
        </w:tc>
        <w:tc>
          <w:tcPr>
            <w:tcW w:w="567" w:type="dxa"/>
            <w:tcBorders>
              <w:top w:val="nil"/>
              <w:left w:val="nil"/>
              <w:bottom w:val="nil"/>
              <w:right w:val="nil"/>
            </w:tcBorders>
          </w:tcPr>
          <w:p>
            <w:pPr>
              <w:pStyle w:val="0"/>
            </w:pPr>
            <w:r>
              <w:rPr>
                <w:sz w:val="24"/>
              </w:rPr>
              <w:t xml:space="preserve">16 -</w:t>
            </w:r>
          </w:p>
        </w:tc>
        <w:tc>
          <w:tcPr>
            <w:tcW w:w="4025" w:type="dxa"/>
            <w:tcBorders>
              <w:top w:val="nil"/>
              <w:left w:val="nil"/>
              <w:bottom w:val="nil"/>
              <w:right w:val="nil"/>
            </w:tcBorders>
          </w:tcPr>
          <w:p>
            <w:pPr>
              <w:pStyle w:val="0"/>
            </w:pPr>
            <w:r>
              <w:rPr>
                <w:sz w:val="24"/>
              </w:rPr>
              <w:t xml:space="preserve">Ядерные реакторы энергетические и промышленные.</w:t>
            </w:r>
          </w:p>
        </w:tc>
      </w:tr>
      <w:tr>
        <w:tc>
          <w:tcPr>
            <w:tcW w:w="567" w:type="dxa"/>
            <w:tcBorders>
              <w:top w:val="nil"/>
              <w:left w:val="nil"/>
              <w:bottom w:val="nil"/>
              <w:right w:val="nil"/>
            </w:tcBorders>
          </w:tcPr>
          <w:p>
            <w:pPr>
              <w:pStyle w:val="0"/>
            </w:pPr>
            <w:r>
              <w:rPr>
                <w:sz w:val="24"/>
              </w:rPr>
            </w:r>
          </w:p>
        </w:tc>
        <w:tc>
          <w:tcPr>
            <w:tcW w:w="454" w:type="dxa"/>
            <w:tcBorders>
              <w:top w:val="nil"/>
              <w:left w:val="nil"/>
              <w:bottom w:val="nil"/>
              <w:right w:val="nil"/>
            </w:tcBorders>
          </w:tcPr>
          <w:p>
            <w:pPr>
              <w:pStyle w:val="0"/>
            </w:pPr>
            <w:r>
              <w:rPr>
                <w:sz w:val="24"/>
              </w:rPr>
              <w:t xml:space="preserve">8 -</w:t>
            </w:r>
          </w:p>
        </w:tc>
        <w:tc>
          <w:tcPr>
            <w:tcW w:w="3458" w:type="dxa"/>
            <w:tcBorders>
              <w:top w:val="nil"/>
              <w:left w:val="nil"/>
              <w:bottom w:val="nil"/>
              <w:right w:val="nil"/>
            </w:tcBorders>
          </w:tcPr>
          <w:p>
            <w:pPr>
              <w:pStyle w:val="0"/>
            </w:pPr>
            <w:r>
              <w:rPr>
                <w:sz w:val="24"/>
              </w:rPr>
              <w:t xml:space="preserve">Радиоизотопные приборы.</w:t>
            </w:r>
          </w:p>
        </w:tc>
        <w:tc>
          <w:tcPr>
            <w:tcW w:w="567" w:type="dxa"/>
            <w:tcBorders>
              <w:top w:val="nil"/>
              <w:left w:val="nil"/>
              <w:bottom w:val="nil"/>
              <w:right w:val="nil"/>
            </w:tcBorders>
          </w:tcPr>
          <w:p>
            <w:pPr>
              <w:pStyle w:val="0"/>
            </w:pPr>
            <w:r>
              <w:rPr>
                <w:sz w:val="24"/>
              </w:rPr>
              <w:t xml:space="preserve">17 -</w:t>
            </w:r>
          </w:p>
        </w:tc>
        <w:tc>
          <w:tcPr>
            <w:tcW w:w="4025" w:type="dxa"/>
            <w:tcBorders>
              <w:top w:val="nil"/>
              <w:left w:val="nil"/>
              <w:bottom w:val="nil"/>
              <w:right w:val="nil"/>
            </w:tcBorders>
          </w:tcPr>
          <w:p>
            <w:pPr>
              <w:pStyle w:val="0"/>
            </w:pPr>
            <w:r>
              <w:rPr>
                <w:sz w:val="24"/>
              </w:rPr>
              <w:t xml:space="preserve">Прочие.</w:t>
            </w:r>
          </w:p>
        </w:tc>
      </w:tr>
      <w:tr>
        <w:tc>
          <w:tcPr>
            <w:tcW w:w="567" w:type="dxa"/>
            <w:tcBorders>
              <w:top w:val="nil"/>
              <w:left w:val="nil"/>
              <w:bottom w:val="nil"/>
              <w:right w:val="nil"/>
            </w:tcBorders>
          </w:tcPr>
          <w:p>
            <w:pPr>
              <w:pStyle w:val="0"/>
            </w:pPr>
            <w:r>
              <w:rPr>
                <w:sz w:val="24"/>
              </w:rPr>
            </w:r>
          </w:p>
        </w:tc>
        <w:tc>
          <w:tcPr>
            <w:tcW w:w="454" w:type="dxa"/>
            <w:tcBorders>
              <w:top w:val="nil"/>
              <w:left w:val="nil"/>
              <w:bottom w:val="nil"/>
              <w:right w:val="nil"/>
            </w:tcBorders>
          </w:tcPr>
          <w:p>
            <w:pPr>
              <w:pStyle w:val="0"/>
            </w:pPr>
            <w:r>
              <w:rPr>
                <w:sz w:val="24"/>
              </w:rPr>
              <w:t xml:space="preserve">9 -</w:t>
            </w:r>
          </w:p>
        </w:tc>
        <w:tc>
          <w:tcPr>
            <w:tcW w:w="3458" w:type="dxa"/>
            <w:tcBorders>
              <w:top w:val="nil"/>
              <w:left w:val="nil"/>
              <w:bottom w:val="nil"/>
              <w:right w:val="nil"/>
            </w:tcBorders>
          </w:tcPr>
          <w:p>
            <w:pPr>
              <w:pStyle w:val="0"/>
            </w:pPr>
            <w:r>
              <w:rPr>
                <w:sz w:val="24"/>
              </w:rPr>
              <w:t xml:space="preserve">Рентгеновские медицинские аппараты.</w:t>
            </w:r>
          </w:p>
        </w:tc>
        <w:tc>
          <w:tcPr>
            <w:tcW w:w="567" w:type="dxa"/>
            <w:tcBorders>
              <w:top w:val="nil"/>
              <w:left w:val="nil"/>
              <w:bottom w:val="nil"/>
              <w:right w:val="nil"/>
            </w:tcBorders>
          </w:tcPr>
          <w:p>
            <w:pPr>
              <w:pStyle w:val="0"/>
            </w:pPr>
            <w:r>
              <w:rPr>
                <w:sz w:val="24"/>
              </w:rPr>
            </w:r>
          </w:p>
        </w:tc>
        <w:tc>
          <w:tcPr>
            <w:tcW w:w="4025" w:type="dxa"/>
            <w:tcBorders>
              <w:top w:val="nil"/>
              <w:left w:val="nil"/>
              <w:bottom w:val="nil"/>
              <w:right w:val="nil"/>
            </w:tcBorders>
          </w:tcPr>
          <w:p>
            <w:pPr>
              <w:pStyle w:val="0"/>
            </w:pPr>
            <w:r>
              <w:rPr>
                <w:sz w:val="24"/>
              </w:rPr>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9071"/>
      </w:tblGrid>
      <w:tr>
        <w:tc>
          <w:tcPr>
            <w:tcW w:w="9071" w:type="dxa"/>
            <w:tcBorders>
              <w:top w:val="nil"/>
              <w:left w:val="nil"/>
              <w:bottom w:val="nil"/>
              <w:right w:val="nil"/>
            </w:tcBorders>
          </w:tcPr>
          <w:p>
            <w:pPr>
              <w:pStyle w:val="0"/>
              <w:outlineLvl w:val="1"/>
              <w:jc w:val="both"/>
            </w:pPr>
            <w:r>
              <w:rPr>
                <w:sz w:val="24"/>
              </w:rPr>
              <w:t xml:space="preserve">3. Характеристика радиоактивного загрязнения окружающей среды</w:t>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9071"/>
      </w:tblGrid>
      <w:tr>
        <w:tc>
          <w:tcPr>
            <w:tcW w:w="9071" w:type="dxa"/>
            <w:tcBorders>
              <w:top w:val="nil"/>
              <w:left w:val="nil"/>
              <w:bottom w:val="nil"/>
              <w:right w:val="nil"/>
            </w:tcBorders>
          </w:tcPr>
          <w:bookmarkStart w:id="1478" w:name="P1478"/>
          <w:bookmarkEnd w:id="1478"/>
          <w:p>
            <w:pPr>
              <w:pStyle w:val="0"/>
              <w:outlineLvl w:val="2"/>
              <w:jc w:val="both"/>
            </w:pPr>
            <w:r>
              <w:rPr>
                <w:sz w:val="24"/>
              </w:rPr>
              <w:t xml:space="preserve">3.1. Поверхностная активность техногенных радионуклидов в почве, кБк/м</w:t>
            </w:r>
            <w:r>
              <w:rPr>
                <w:sz w:val="24"/>
                <w:vertAlign w:val="superscript"/>
              </w:rPr>
              <w:t xml:space="preserve">2</w:t>
            </w:r>
          </w:p>
        </w:tc>
      </w:tr>
    </w:tbl>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722"/>
        <w:gridCol w:w="2438"/>
        <w:gridCol w:w="2438"/>
        <w:gridCol w:w="2440"/>
      </w:tblGrid>
      <w:tr>
        <w:tc>
          <w:tcPr>
            <w:tcW w:w="1722" w:type="dxa"/>
          </w:tcPr>
          <w:bookmarkStart w:id="1480" w:name="P1480"/>
          <w:bookmarkEnd w:id="1480"/>
          <w:p>
            <w:pPr>
              <w:pStyle w:val="0"/>
              <w:jc w:val="center"/>
            </w:pPr>
            <w:r>
              <w:rPr>
                <w:sz w:val="24"/>
              </w:rPr>
              <w:t xml:space="preserve">Радионуклиды</w:t>
            </w:r>
          </w:p>
        </w:tc>
        <w:tc>
          <w:tcPr>
            <w:tcW w:w="2438" w:type="dxa"/>
          </w:tcPr>
          <w:p>
            <w:pPr>
              <w:pStyle w:val="0"/>
              <w:jc w:val="center"/>
            </w:pPr>
            <w:r>
              <w:rPr>
                <w:sz w:val="24"/>
              </w:rPr>
              <w:t xml:space="preserve">Число исследованных проб</w:t>
            </w:r>
          </w:p>
        </w:tc>
        <w:tc>
          <w:tcPr>
            <w:tcW w:w="2438" w:type="dxa"/>
          </w:tcPr>
          <w:p>
            <w:pPr>
              <w:pStyle w:val="0"/>
              <w:jc w:val="center"/>
            </w:pPr>
            <w:r>
              <w:rPr>
                <w:sz w:val="24"/>
              </w:rPr>
              <w:t xml:space="preserve">Среднее значение</w:t>
            </w:r>
          </w:p>
        </w:tc>
        <w:tc>
          <w:tcPr>
            <w:tcW w:w="2440" w:type="dxa"/>
          </w:tcPr>
          <w:p>
            <w:pPr>
              <w:pStyle w:val="0"/>
              <w:jc w:val="center"/>
            </w:pPr>
            <w:r>
              <w:rPr>
                <w:sz w:val="24"/>
              </w:rPr>
              <w:t xml:space="preserve">Максимальное значение</w:t>
            </w:r>
          </w:p>
        </w:tc>
      </w:tr>
      <w:tr>
        <w:tc>
          <w:tcPr>
            <w:gridSpan w:val="4"/>
            <w:tcW w:w="9038" w:type="dxa"/>
          </w:tcPr>
          <w:p>
            <w:pPr>
              <w:pStyle w:val="0"/>
              <w:outlineLvl w:val="3"/>
              <w:jc w:val="center"/>
            </w:pPr>
            <w:r>
              <w:rPr>
                <w:sz w:val="24"/>
              </w:rPr>
              <w:t xml:space="preserve">На территории субъекта РФ</w:t>
            </w:r>
          </w:p>
        </w:tc>
      </w:tr>
      <w:tr>
        <w:tc>
          <w:tcPr>
            <w:tcW w:w="1722" w:type="dxa"/>
          </w:tcPr>
          <w:p>
            <w:pPr>
              <w:pStyle w:val="0"/>
              <w:jc w:val="center"/>
            </w:pPr>
            <w:r>
              <w:rPr>
                <w:sz w:val="24"/>
                <w:vertAlign w:val="superscript"/>
              </w:rPr>
              <w:t xml:space="preserve">137</w:t>
            </w:r>
            <w:r>
              <w:rPr>
                <w:sz w:val="24"/>
              </w:rPr>
              <w:t xml:space="preserve">Cs</w:t>
            </w:r>
          </w:p>
        </w:tc>
        <w:tc>
          <w:tcPr>
            <w:tcW w:w="2438" w:type="dxa"/>
          </w:tcPr>
          <w:p>
            <w:pPr>
              <w:pStyle w:val="0"/>
            </w:pPr>
            <w:r>
              <w:rPr>
                <w:sz w:val="24"/>
              </w:rPr>
            </w:r>
          </w:p>
        </w:tc>
        <w:tc>
          <w:tcPr>
            <w:tcW w:w="2438" w:type="dxa"/>
          </w:tcPr>
          <w:p>
            <w:pPr>
              <w:pStyle w:val="0"/>
            </w:pPr>
            <w:r>
              <w:rPr>
                <w:sz w:val="24"/>
              </w:rPr>
            </w:r>
          </w:p>
        </w:tc>
        <w:tc>
          <w:tcPr>
            <w:tcW w:w="2440" w:type="dxa"/>
          </w:tcPr>
          <w:p>
            <w:pPr>
              <w:pStyle w:val="0"/>
            </w:pPr>
            <w:r>
              <w:rPr>
                <w:sz w:val="24"/>
              </w:rPr>
            </w:r>
          </w:p>
        </w:tc>
      </w:tr>
      <w:tr>
        <w:tc>
          <w:tcPr>
            <w:tcW w:w="1722" w:type="dxa"/>
          </w:tcPr>
          <w:p>
            <w:pPr>
              <w:pStyle w:val="0"/>
              <w:jc w:val="center"/>
            </w:pPr>
            <w:r>
              <w:rPr>
                <w:sz w:val="24"/>
                <w:vertAlign w:val="superscript"/>
              </w:rPr>
              <w:t xml:space="preserve">90</w:t>
            </w:r>
            <w:r>
              <w:rPr>
                <w:sz w:val="24"/>
              </w:rPr>
              <w:t xml:space="preserve">Sr</w:t>
            </w:r>
          </w:p>
        </w:tc>
        <w:tc>
          <w:tcPr>
            <w:tcW w:w="2438" w:type="dxa"/>
          </w:tcPr>
          <w:p>
            <w:pPr>
              <w:pStyle w:val="0"/>
            </w:pPr>
            <w:r>
              <w:rPr>
                <w:sz w:val="24"/>
              </w:rPr>
            </w:r>
          </w:p>
        </w:tc>
        <w:tc>
          <w:tcPr>
            <w:tcW w:w="2438" w:type="dxa"/>
          </w:tcPr>
          <w:p>
            <w:pPr>
              <w:pStyle w:val="0"/>
            </w:pPr>
            <w:r>
              <w:rPr>
                <w:sz w:val="24"/>
              </w:rPr>
            </w:r>
          </w:p>
        </w:tc>
        <w:tc>
          <w:tcPr>
            <w:tcW w:w="2440" w:type="dxa"/>
          </w:tcPr>
          <w:p>
            <w:pPr>
              <w:pStyle w:val="0"/>
            </w:pPr>
            <w:r>
              <w:rPr>
                <w:sz w:val="24"/>
              </w:rPr>
            </w:r>
          </w:p>
        </w:tc>
      </w:tr>
      <w:tr>
        <w:tc>
          <w:tcPr>
            <w:gridSpan w:val="4"/>
            <w:tcW w:w="9038" w:type="dxa"/>
          </w:tcPr>
          <w:p>
            <w:pPr>
              <w:pStyle w:val="0"/>
              <w:outlineLvl w:val="3"/>
              <w:jc w:val="center"/>
            </w:pPr>
            <w:r>
              <w:rPr>
                <w:sz w:val="24"/>
              </w:rPr>
              <w:t xml:space="preserve">В санитарно-защитных зонах радиационных объектов</w:t>
            </w:r>
          </w:p>
        </w:tc>
      </w:tr>
      <w:tr>
        <w:tc>
          <w:tcPr>
            <w:tcW w:w="1722" w:type="dxa"/>
          </w:tcPr>
          <w:p>
            <w:pPr>
              <w:pStyle w:val="0"/>
              <w:jc w:val="center"/>
            </w:pPr>
            <w:r>
              <w:rPr>
                <w:sz w:val="24"/>
                <w:vertAlign w:val="superscript"/>
              </w:rPr>
              <w:t xml:space="preserve">137</w:t>
            </w:r>
            <w:r>
              <w:rPr>
                <w:sz w:val="24"/>
              </w:rPr>
              <w:t xml:space="preserve">Cs</w:t>
            </w:r>
          </w:p>
        </w:tc>
        <w:tc>
          <w:tcPr>
            <w:tcW w:w="2438" w:type="dxa"/>
          </w:tcPr>
          <w:p>
            <w:pPr>
              <w:pStyle w:val="0"/>
            </w:pPr>
            <w:r>
              <w:rPr>
                <w:sz w:val="24"/>
              </w:rPr>
            </w:r>
          </w:p>
        </w:tc>
        <w:tc>
          <w:tcPr>
            <w:tcW w:w="2438" w:type="dxa"/>
          </w:tcPr>
          <w:p>
            <w:pPr>
              <w:pStyle w:val="0"/>
            </w:pPr>
            <w:r>
              <w:rPr>
                <w:sz w:val="24"/>
              </w:rPr>
            </w:r>
          </w:p>
        </w:tc>
        <w:tc>
          <w:tcPr>
            <w:tcW w:w="2440" w:type="dxa"/>
          </w:tcPr>
          <w:p>
            <w:pPr>
              <w:pStyle w:val="0"/>
            </w:pPr>
            <w:r>
              <w:rPr>
                <w:sz w:val="24"/>
              </w:rPr>
            </w:r>
          </w:p>
        </w:tc>
      </w:tr>
      <w:tr>
        <w:tc>
          <w:tcPr>
            <w:tcW w:w="1722" w:type="dxa"/>
          </w:tcPr>
          <w:p>
            <w:pPr>
              <w:pStyle w:val="0"/>
              <w:jc w:val="center"/>
            </w:pPr>
            <w:r>
              <w:rPr>
                <w:sz w:val="24"/>
                <w:vertAlign w:val="superscript"/>
              </w:rPr>
              <w:t xml:space="preserve">90</w:t>
            </w:r>
            <w:r>
              <w:rPr>
                <w:sz w:val="24"/>
              </w:rPr>
              <w:t xml:space="preserve">Sr</w:t>
            </w:r>
          </w:p>
        </w:tc>
        <w:tc>
          <w:tcPr>
            <w:tcW w:w="2438" w:type="dxa"/>
          </w:tcPr>
          <w:p>
            <w:pPr>
              <w:pStyle w:val="0"/>
            </w:pPr>
            <w:r>
              <w:rPr>
                <w:sz w:val="24"/>
              </w:rPr>
            </w:r>
          </w:p>
        </w:tc>
        <w:tc>
          <w:tcPr>
            <w:tcW w:w="2438" w:type="dxa"/>
          </w:tcPr>
          <w:p>
            <w:pPr>
              <w:pStyle w:val="0"/>
            </w:pPr>
            <w:r>
              <w:rPr>
                <w:sz w:val="24"/>
              </w:rPr>
            </w:r>
          </w:p>
        </w:tc>
        <w:tc>
          <w:tcPr>
            <w:tcW w:w="2440" w:type="dxa"/>
          </w:tcPr>
          <w:p>
            <w:pPr>
              <w:pStyle w:val="0"/>
            </w:pPr>
            <w:r>
              <w:rPr>
                <w:sz w:val="24"/>
              </w:rPr>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9071"/>
      </w:tblGrid>
      <w:tr>
        <w:tc>
          <w:tcPr>
            <w:tcW w:w="9071" w:type="dxa"/>
            <w:tcBorders>
              <w:top w:val="nil"/>
              <w:left w:val="nil"/>
              <w:bottom w:val="nil"/>
              <w:right w:val="nil"/>
            </w:tcBorders>
          </w:tcPr>
          <w:bookmarkStart w:id="1503" w:name="P1503"/>
          <w:bookmarkEnd w:id="1503"/>
          <w:p>
            <w:pPr>
              <w:pStyle w:val="0"/>
              <w:outlineLvl w:val="2"/>
              <w:jc w:val="both"/>
            </w:pPr>
            <w:r>
              <w:rPr>
                <w:sz w:val="24"/>
              </w:rPr>
              <w:t xml:space="preserve">3.2. Объемная активность радиоактивных веществ в атмосферном воздухе, Бк/м</w:t>
            </w:r>
            <w:r>
              <w:rPr>
                <w:sz w:val="24"/>
                <w:vertAlign w:val="superscript"/>
              </w:rPr>
              <w:t xml:space="preserve">3</w:t>
            </w:r>
          </w:p>
        </w:tc>
      </w:tr>
    </w:tbl>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722"/>
        <w:gridCol w:w="2438"/>
        <w:gridCol w:w="2438"/>
        <w:gridCol w:w="2440"/>
      </w:tblGrid>
      <w:tr>
        <w:tc>
          <w:tcPr>
            <w:tcW w:w="1722" w:type="dxa"/>
          </w:tcPr>
          <w:bookmarkStart w:id="1505" w:name="P1505"/>
          <w:bookmarkEnd w:id="1505"/>
          <w:p>
            <w:pPr>
              <w:pStyle w:val="0"/>
              <w:jc w:val="center"/>
            </w:pPr>
            <w:r>
              <w:rPr>
                <w:sz w:val="24"/>
              </w:rPr>
              <w:t xml:space="preserve">Радионуклиды</w:t>
            </w:r>
          </w:p>
        </w:tc>
        <w:tc>
          <w:tcPr>
            <w:tcW w:w="2438" w:type="dxa"/>
          </w:tcPr>
          <w:p>
            <w:pPr>
              <w:pStyle w:val="0"/>
              <w:jc w:val="center"/>
            </w:pPr>
            <w:r>
              <w:rPr>
                <w:sz w:val="24"/>
              </w:rPr>
              <w:t xml:space="preserve">Число исследованных проб</w:t>
            </w:r>
          </w:p>
        </w:tc>
        <w:tc>
          <w:tcPr>
            <w:tcW w:w="2438" w:type="dxa"/>
          </w:tcPr>
          <w:p>
            <w:pPr>
              <w:pStyle w:val="0"/>
              <w:jc w:val="center"/>
            </w:pPr>
            <w:r>
              <w:rPr>
                <w:sz w:val="24"/>
              </w:rPr>
              <w:t xml:space="preserve">Среднее значение</w:t>
            </w:r>
          </w:p>
        </w:tc>
        <w:tc>
          <w:tcPr>
            <w:tcW w:w="2440" w:type="dxa"/>
          </w:tcPr>
          <w:p>
            <w:pPr>
              <w:pStyle w:val="0"/>
              <w:jc w:val="center"/>
            </w:pPr>
            <w:r>
              <w:rPr>
                <w:sz w:val="24"/>
              </w:rPr>
              <w:t xml:space="preserve">Максимальное значение</w:t>
            </w:r>
          </w:p>
        </w:tc>
      </w:tr>
      <w:tr>
        <w:tc>
          <w:tcPr>
            <w:gridSpan w:val="4"/>
            <w:tcW w:w="9038" w:type="dxa"/>
          </w:tcPr>
          <w:p>
            <w:pPr>
              <w:pStyle w:val="0"/>
              <w:outlineLvl w:val="3"/>
              <w:jc w:val="center"/>
            </w:pPr>
            <w:r>
              <w:rPr>
                <w:sz w:val="24"/>
              </w:rPr>
              <w:t xml:space="preserve">На территории субъекта РФ</w:t>
            </w:r>
          </w:p>
        </w:tc>
      </w:tr>
      <w:tr>
        <w:tc>
          <w:tcPr>
            <w:tcW w:w="1722" w:type="dxa"/>
          </w:tcPr>
          <w:p>
            <w:pPr>
              <w:pStyle w:val="0"/>
              <w:jc w:val="center"/>
            </w:pPr>
            <w:r>
              <w:rPr>
                <w:sz w:val="24"/>
              </w:rPr>
              <w:t xml:space="preserve">Суммарная </w:t>
            </w:r>
            <w:r>
              <w:rPr>
                <w:position w:val="-6"/>
              </w:rPr>
              <w:drawing>
                <wp:inline distT="0" distB="0" distL="0" distR="0">
                  <wp:extent cx="148590" cy="24003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3">
                            <a:extLst>
                              <a:ext uri="{28A0092B-C50C-407E-A947-70E740481C1C}">
                                <a14:useLocalDpi xmlns:a14="http://schemas.microsoft.com/office/drawing/2010/main" val="0"/>
                              </a:ext>
                            </a:extLst>
                          </a:blip>
                          <a:srcRect/>
                          <a:stretch>
                            <a:fillRect/>
                          </a:stretch>
                        </pic:blipFill>
                        <pic:spPr bwMode="auto">
                          <a:xfrm>
                            <a:off x="0" y="0"/>
                            <a:ext cx="148590" cy="240030"/>
                          </a:xfrm>
                          <a:prstGeom prst="rect">
                            <a:avLst/>
                          </a:prstGeom>
                          <a:noFill/>
                          <a:ln>
                            <a:noFill/>
                          </a:ln>
                        </pic:spPr>
                      </pic:pic>
                    </a:graphicData>
                  </a:graphic>
                </wp:inline>
              </w:drawing>
            </w:r>
            <w:r>
              <w:rPr>
                <w:sz w:val="24"/>
              </w:rPr>
              <w:t xml:space="preserve">-активность</w:t>
            </w:r>
          </w:p>
        </w:tc>
        <w:tc>
          <w:tcPr>
            <w:tcW w:w="2438" w:type="dxa"/>
          </w:tcPr>
          <w:p>
            <w:pPr>
              <w:pStyle w:val="0"/>
            </w:pPr>
            <w:r>
              <w:rPr>
                <w:sz w:val="24"/>
              </w:rPr>
            </w:r>
          </w:p>
        </w:tc>
        <w:tc>
          <w:tcPr>
            <w:tcW w:w="2438" w:type="dxa"/>
          </w:tcPr>
          <w:p>
            <w:pPr>
              <w:pStyle w:val="0"/>
            </w:pPr>
            <w:r>
              <w:rPr>
                <w:sz w:val="24"/>
              </w:rPr>
            </w:r>
          </w:p>
        </w:tc>
        <w:tc>
          <w:tcPr>
            <w:tcW w:w="2440" w:type="dxa"/>
          </w:tcPr>
          <w:p>
            <w:pPr>
              <w:pStyle w:val="0"/>
            </w:pPr>
            <w:r>
              <w:rPr>
                <w:sz w:val="24"/>
              </w:rPr>
            </w:r>
          </w:p>
        </w:tc>
      </w:tr>
      <w:tr>
        <w:tc>
          <w:tcPr>
            <w:gridSpan w:val="4"/>
            <w:tcW w:w="9038" w:type="dxa"/>
          </w:tcPr>
          <w:p>
            <w:pPr>
              <w:pStyle w:val="0"/>
              <w:outlineLvl w:val="3"/>
              <w:jc w:val="center"/>
            </w:pPr>
            <w:r>
              <w:rPr>
                <w:sz w:val="24"/>
              </w:rPr>
              <w:t xml:space="preserve">В санитарно-защитных зонах радиационных объектов</w:t>
            </w:r>
          </w:p>
        </w:tc>
      </w:tr>
      <w:tr>
        <w:tc>
          <w:tcPr>
            <w:tcW w:w="1722" w:type="dxa"/>
          </w:tcPr>
          <w:p>
            <w:pPr>
              <w:pStyle w:val="0"/>
              <w:jc w:val="center"/>
            </w:pPr>
            <w:r>
              <w:rPr>
                <w:sz w:val="24"/>
                <w:vertAlign w:val="superscript"/>
              </w:rPr>
              <w:t xml:space="preserve">137</w:t>
            </w:r>
            <w:r>
              <w:rPr>
                <w:sz w:val="24"/>
              </w:rPr>
              <w:t xml:space="preserve">Cs</w:t>
            </w:r>
          </w:p>
        </w:tc>
        <w:tc>
          <w:tcPr>
            <w:tcW w:w="2438" w:type="dxa"/>
          </w:tcPr>
          <w:p>
            <w:pPr>
              <w:pStyle w:val="0"/>
            </w:pPr>
            <w:r>
              <w:rPr>
                <w:sz w:val="24"/>
              </w:rPr>
            </w:r>
          </w:p>
        </w:tc>
        <w:tc>
          <w:tcPr>
            <w:tcW w:w="2438" w:type="dxa"/>
          </w:tcPr>
          <w:p>
            <w:pPr>
              <w:pStyle w:val="0"/>
            </w:pPr>
            <w:r>
              <w:rPr>
                <w:sz w:val="24"/>
              </w:rPr>
            </w:r>
          </w:p>
        </w:tc>
        <w:tc>
          <w:tcPr>
            <w:tcW w:w="2440" w:type="dxa"/>
          </w:tcPr>
          <w:p>
            <w:pPr>
              <w:pStyle w:val="0"/>
            </w:pPr>
            <w:r>
              <w:rPr>
                <w:sz w:val="24"/>
              </w:rPr>
            </w:r>
          </w:p>
        </w:tc>
      </w:tr>
      <w:tr>
        <w:tc>
          <w:tcPr>
            <w:tcW w:w="1722" w:type="dxa"/>
          </w:tcPr>
          <w:p>
            <w:pPr>
              <w:pStyle w:val="0"/>
              <w:jc w:val="center"/>
            </w:pPr>
            <w:r>
              <w:rPr>
                <w:sz w:val="24"/>
                <w:vertAlign w:val="superscript"/>
              </w:rPr>
              <w:t xml:space="preserve">131</w:t>
            </w:r>
            <w:r>
              <w:rPr>
                <w:sz w:val="24"/>
              </w:rPr>
              <w:t xml:space="preserve">I</w:t>
            </w:r>
          </w:p>
        </w:tc>
        <w:tc>
          <w:tcPr>
            <w:tcW w:w="2438" w:type="dxa"/>
          </w:tcPr>
          <w:p>
            <w:pPr>
              <w:pStyle w:val="0"/>
            </w:pPr>
            <w:r>
              <w:rPr>
                <w:sz w:val="24"/>
              </w:rPr>
            </w:r>
          </w:p>
        </w:tc>
        <w:tc>
          <w:tcPr>
            <w:tcW w:w="2438" w:type="dxa"/>
          </w:tcPr>
          <w:p>
            <w:pPr>
              <w:pStyle w:val="0"/>
            </w:pPr>
            <w:r>
              <w:rPr>
                <w:sz w:val="24"/>
              </w:rPr>
            </w:r>
          </w:p>
        </w:tc>
        <w:tc>
          <w:tcPr>
            <w:tcW w:w="2440" w:type="dxa"/>
          </w:tcPr>
          <w:p>
            <w:pPr>
              <w:pStyle w:val="0"/>
            </w:pPr>
            <w:r>
              <w:rPr>
                <w:sz w:val="24"/>
              </w:rPr>
            </w:r>
          </w:p>
        </w:tc>
      </w:tr>
      <w:tr>
        <w:tc>
          <w:tcPr>
            <w:tcW w:w="1722" w:type="dxa"/>
          </w:tcPr>
          <w:p>
            <w:pPr>
              <w:pStyle w:val="0"/>
              <w:jc w:val="center"/>
            </w:pPr>
            <w:r>
              <w:rPr>
                <w:sz w:val="24"/>
              </w:rPr>
              <w:t xml:space="preserve">Суммарная </w:t>
            </w:r>
            <w:r>
              <w:rPr>
                <w:position w:val="-6"/>
              </w:rPr>
              <w:drawing>
                <wp:inline distT="0" distB="0" distL="0" distR="0">
                  <wp:extent cx="148590" cy="24003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3">
                            <a:extLst>
                              <a:ext uri="{28A0092B-C50C-407E-A947-70E740481C1C}">
                                <a14:useLocalDpi xmlns:a14="http://schemas.microsoft.com/office/drawing/2010/main" val="0"/>
                              </a:ext>
                            </a:extLst>
                          </a:blip>
                          <a:srcRect/>
                          <a:stretch>
                            <a:fillRect/>
                          </a:stretch>
                        </pic:blipFill>
                        <pic:spPr bwMode="auto">
                          <a:xfrm>
                            <a:off x="0" y="0"/>
                            <a:ext cx="148590" cy="240030"/>
                          </a:xfrm>
                          <a:prstGeom prst="rect">
                            <a:avLst/>
                          </a:prstGeom>
                          <a:noFill/>
                          <a:ln>
                            <a:noFill/>
                          </a:ln>
                        </pic:spPr>
                      </pic:pic>
                    </a:graphicData>
                  </a:graphic>
                </wp:inline>
              </w:drawing>
            </w:r>
            <w:r>
              <w:rPr>
                <w:sz w:val="24"/>
              </w:rPr>
              <w:t xml:space="preserve">-активность</w:t>
            </w:r>
          </w:p>
        </w:tc>
        <w:tc>
          <w:tcPr>
            <w:tcW w:w="2438" w:type="dxa"/>
          </w:tcPr>
          <w:p>
            <w:pPr>
              <w:pStyle w:val="0"/>
            </w:pPr>
            <w:r>
              <w:rPr>
                <w:sz w:val="24"/>
              </w:rPr>
            </w:r>
          </w:p>
        </w:tc>
        <w:tc>
          <w:tcPr>
            <w:tcW w:w="2438" w:type="dxa"/>
          </w:tcPr>
          <w:p>
            <w:pPr>
              <w:pStyle w:val="0"/>
            </w:pPr>
            <w:r>
              <w:rPr>
                <w:sz w:val="24"/>
              </w:rPr>
            </w:r>
          </w:p>
        </w:tc>
        <w:tc>
          <w:tcPr>
            <w:tcW w:w="2440" w:type="dxa"/>
          </w:tcPr>
          <w:p>
            <w:pPr>
              <w:pStyle w:val="0"/>
            </w:pPr>
            <w:r>
              <w:rPr>
                <w:sz w:val="24"/>
              </w:rPr>
            </w:r>
          </w:p>
        </w:tc>
      </w:tr>
      <w:tr>
        <w:tc>
          <w:tcPr>
            <w:gridSpan w:val="4"/>
            <w:tcW w:w="9038" w:type="dxa"/>
          </w:tcPr>
          <w:p>
            <w:pPr>
              <w:pStyle w:val="0"/>
              <w:outlineLvl w:val="3"/>
              <w:jc w:val="center"/>
            </w:pPr>
            <w:r>
              <w:rPr>
                <w:sz w:val="24"/>
              </w:rPr>
              <w:t xml:space="preserve">В зонах наблюдения радиационных объектов</w:t>
            </w:r>
          </w:p>
        </w:tc>
      </w:tr>
      <w:tr>
        <w:tc>
          <w:tcPr>
            <w:tcW w:w="1722" w:type="dxa"/>
          </w:tcPr>
          <w:p>
            <w:pPr>
              <w:pStyle w:val="0"/>
              <w:jc w:val="center"/>
            </w:pPr>
            <w:r>
              <w:rPr>
                <w:sz w:val="24"/>
                <w:vertAlign w:val="superscript"/>
              </w:rPr>
              <w:t xml:space="preserve">137</w:t>
            </w:r>
            <w:r>
              <w:rPr>
                <w:sz w:val="24"/>
              </w:rPr>
              <w:t xml:space="preserve">Cs</w:t>
            </w:r>
          </w:p>
        </w:tc>
        <w:tc>
          <w:tcPr>
            <w:tcW w:w="2438" w:type="dxa"/>
          </w:tcPr>
          <w:p>
            <w:pPr>
              <w:pStyle w:val="0"/>
            </w:pPr>
            <w:r>
              <w:rPr>
                <w:sz w:val="24"/>
              </w:rPr>
            </w:r>
          </w:p>
        </w:tc>
        <w:tc>
          <w:tcPr>
            <w:tcW w:w="2438" w:type="dxa"/>
          </w:tcPr>
          <w:p>
            <w:pPr>
              <w:pStyle w:val="0"/>
            </w:pPr>
            <w:r>
              <w:rPr>
                <w:sz w:val="24"/>
              </w:rPr>
            </w:r>
          </w:p>
        </w:tc>
        <w:tc>
          <w:tcPr>
            <w:tcW w:w="2440" w:type="dxa"/>
          </w:tcPr>
          <w:p>
            <w:pPr>
              <w:pStyle w:val="0"/>
            </w:pPr>
            <w:r>
              <w:rPr>
                <w:sz w:val="24"/>
              </w:rPr>
            </w:r>
          </w:p>
        </w:tc>
      </w:tr>
      <w:tr>
        <w:tc>
          <w:tcPr>
            <w:tcW w:w="1722" w:type="dxa"/>
          </w:tcPr>
          <w:p>
            <w:pPr>
              <w:pStyle w:val="0"/>
              <w:jc w:val="center"/>
            </w:pPr>
            <w:r>
              <w:rPr>
                <w:sz w:val="24"/>
                <w:vertAlign w:val="superscript"/>
              </w:rPr>
              <w:t xml:space="preserve">131</w:t>
            </w:r>
            <w:r>
              <w:rPr>
                <w:sz w:val="24"/>
              </w:rPr>
              <w:t xml:space="preserve">I</w:t>
            </w:r>
          </w:p>
        </w:tc>
        <w:tc>
          <w:tcPr>
            <w:tcW w:w="2438" w:type="dxa"/>
          </w:tcPr>
          <w:p>
            <w:pPr>
              <w:pStyle w:val="0"/>
            </w:pPr>
            <w:r>
              <w:rPr>
                <w:sz w:val="24"/>
              </w:rPr>
            </w:r>
          </w:p>
        </w:tc>
        <w:tc>
          <w:tcPr>
            <w:tcW w:w="2438" w:type="dxa"/>
          </w:tcPr>
          <w:p>
            <w:pPr>
              <w:pStyle w:val="0"/>
            </w:pPr>
            <w:r>
              <w:rPr>
                <w:sz w:val="24"/>
              </w:rPr>
            </w:r>
          </w:p>
        </w:tc>
        <w:tc>
          <w:tcPr>
            <w:tcW w:w="2440" w:type="dxa"/>
          </w:tcPr>
          <w:p>
            <w:pPr>
              <w:pStyle w:val="0"/>
            </w:pPr>
            <w:r>
              <w:rPr>
                <w:sz w:val="24"/>
              </w:rPr>
            </w:r>
          </w:p>
        </w:tc>
      </w:tr>
      <w:tr>
        <w:tc>
          <w:tcPr>
            <w:tcW w:w="1722" w:type="dxa"/>
          </w:tcPr>
          <w:p>
            <w:pPr>
              <w:pStyle w:val="0"/>
              <w:jc w:val="center"/>
            </w:pPr>
            <w:r>
              <w:rPr>
                <w:sz w:val="24"/>
              </w:rPr>
              <w:t xml:space="preserve">Суммарная </w:t>
            </w:r>
            <w:r>
              <w:rPr>
                <w:position w:val="-6"/>
              </w:rPr>
              <w:drawing>
                <wp:inline distT="0" distB="0" distL="0" distR="0">
                  <wp:extent cx="148590" cy="24003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3">
                            <a:extLst>
                              <a:ext uri="{28A0092B-C50C-407E-A947-70E740481C1C}">
                                <a14:useLocalDpi xmlns:a14="http://schemas.microsoft.com/office/drawing/2010/main" val="0"/>
                              </a:ext>
                            </a:extLst>
                          </a:blip>
                          <a:srcRect/>
                          <a:stretch>
                            <a:fillRect/>
                          </a:stretch>
                        </pic:blipFill>
                        <pic:spPr bwMode="auto">
                          <a:xfrm>
                            <a:off x="0" y="0"/>
                            <a:ext cx="148590" cy="240030"/>
                          </a:xfrm>
                          <a:prstGeom prst="rect">
                            <a:avLst/>
                          </a:prstGeom>
                          <a:noFill/>
                          <a:ln>
                            <a:noFill/>
                          </a:ln>
                        </pic:spPr>
                      </pic:pic>
                    </a:graphicData>
                  </a:graphic>
                </wp:inline>
              </w:drawing>
            </w:r>
            <w:r>
              <w:rPr>
                <w:sz w:val="24"/>
              </w:rPr>
              <w:t xml:space="preserve">-активность</w:t>
            </w:r>
          </w:p>
        </w:tc>
        <w:tc>
          <w:tcPr>
            <w:tcW w:w="2438" w:type="dxa"/>
          </w:tcPr>
          <w:p>
            <w:pPr>
              <w:pStyle w:val="0"/>
            </w:pPr>
            <w:r>
              <w:rPr>
                <w:sz w:val="24"/>
              </w:rPr>
            </w:r>
          </w:p>
        </w:tc>
        <w:tc>
          <w:tcPr>
            <w:tcW w:w="2438" w:type="dxa"/>
          </w:tcPr>
          <w:p>
            <w:pPr>
              <w:pStyle w:val="0"/>
            </w:pPr>
            <w:r>
              <w:rPr>
                <w:sz w:val="24"/>
              </w:rPr>
            </w:r>
          </w:p>
        </w:tc>
        <w:tc>
          <w:tcPr>
            <w:tcW w:w="2440" w:type="dxa"/>
          </w:tcPr>
          <w:p>
            <w:pPr>
              <w:pStyle w:val="0"/>
            </w:pPr>
            <w:r>
              <w:rPr>
                <w:sz w:val="24"/>
              </w:rPr>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9071"/>
      </w:tblGrid>
      <w:tr>
        <w:tc>
          <w:tcPr>
            <w:tcW w:w="9071" w:type="dxa"/>
            <w:tcBorders>
              <w:top w:val="nil"/>
              <w:left w:val="nil"/>
              <w:bottom w:val="nil"/>
              <w:right w:val="nil"/>
            </w:tcBorders>
          </w:tcPr>
          <w:p>
            <w:pPr>
              <w:pStyle w:val="0"/>
              <w:outlineLvl w:val="2"/>
              <w:jc w:val="both"/>
            </w:pPr>
            <w:r>
              <w:rPr>
                <w:sz w:val="24"/>
              </w:rPr>
              <w:t xml:space="preserve">3.3. Удельная активность радиоактивных веществ в воде открытых водоемов, Бк/кг</w:t>
            </w:r>
          </w:p>
        </w:tc>
      </w:tr>
    </w:tbl>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722"/>
        <w:gridCol w:w="2438"/>
        <w:gridCol w:w="2438"/>
        <w:gridCol w:w="2440"/>
      </w:tblGrid>
      <w:tr>
        <w:tc>
          <w:tcPr>
            <w:tcW w:w="1722" w:type="dxa"/>
          </w:tcPr>
          <w:bookmarkStart w:id="1543" w:name="P1543"/>
          <w:bookmarkEnd w:id="1543"/>
          <w:p>
            <w:pPr>
              <w:pStyle w:val="0"/>
              <w:jc w:val="center"/>
            </w:pPr>
            <w:r>
              <w:rPr>
                <w:sz w:val="24"/>
              </w:rPr>
              <w:t xml:space="preserve">Радионуклиды</w:t>
            </w:r>
          </w:p>
        </w:tc>
        <w:tc>
          <w:tcPr>
            <w:tcW w:w="2438" w:type="dxa"/>
          </w:tcPr>
          <w:p>
            <w:pPr>
              <w:pStyle w:val="0"/>
              <w:jc w:val="center"/>
            </w:pPr>
            <w:r>
              <w:rPr>
                <w:sz w:val="24"/>
              </w:rPr>
              <w:t xml:space="preserve">Число исследованных проб</w:t>
            </w:r>
          </w:p>
        </w:tc>
        <w:tc>
          <w:tcPr>
            <w:tcW w:w="2438" w:type="dxa"/>
          </w:tcPr>
          <w:p>
            <w:pPr>
              <w:pStyle w:val="0"/>
              <w:jc w:val="center"/>
            </w:pPr>
            <w:r>
              <w:rPr>
                <w:sz w:val="24"/>
              </w:rPr>
              <w:t xml:space="preserve">Среднее значение</w:t>
            </w:r>
          </w:p>
        </w:tc>
        <w:tc>
          <w:tcPr>
            <w:tcW w:w="2440" w:type="dxa"/>
          </w:tcPr>
          <w:p>
            <w:pPr>
              <w:pStyle w:val="0"/>
              <w:jc w:val="center"/>
            </w:pPr>
            <w:r>
              <w:rPr>
                <w:sz w:val="24"/>
              </w:rPr>
              <w:t xml:space="preserve">Максимальное значение</w:t>
            </w:r>
          </w:p>
        </w:tc>
      </w:tr>
      <w:tr>
        <w:tc>
          <w:tcPr>
            <w:gridSpan w:val="4"/>
            <w:tcW w:w="9038" w:type="dxa"/>
          </w:tcPr>
          <w:p>
            <w:pPr>
              <w:pStyle w:val="0"/>
              <w:outlineLvl w:val="3"/>
              <w:jc w:val="center"/>
            </w:pPr>
            <w:r>
              <w:rPr>
                <w:sz w:val="24"/>
              </w:rPr>
              <w:t xml:space="preserve">На территории субъекта РФ</w:t>
            </w:r>
          </w:p>
        </w:tc>
      </w:tr>
      <w:tr>
        <w:tc>
          <w:tcPr>
            <w:tcW w:w="1722" w:type="dxa"/>
          </w:tcPr>
          <w:p>
            <w:pPr>
              <w:pStyle w:val="0"/>
              <w:jc w:val="center"/>
            </w:pPr>
            <w:r>
              <w:rPr>
                <w:sz w:val="24"/>
              </w:rPr>
              <w:t xml:space="preserve">Суммарная </w:t>
            </w:r>
            <w:r>
              <w:rPr>
                <w:position w:val="-1"/>
              </w:rPr>
              <w:drawing>
                <wp:inline distT="0" distB="0" distL="0" distR="0">
                  <wp:extent cx="148590" cy="1714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4">
                            <a:extLst>
                              <a:ext uri="{28A0092B-C50C-407E-A947-70E740481C1C}">
                                <a14:useLocalDpi xmlns:a14="http://schemas.microsoft.com/office/drawing/2010/main" val="0"/>
                              </a:ext>
                            </a:extLst>
                          </a:blip>
                          <a:srcRect/>
                          <a:stretch>
                            <a:fillRect/>
                          </a:stretch>
                        </pic:blipFill>
                        <pic:spPr bwMode="auto">
                          <a:xfrm>
                            <a:off x="0" y="0"/>
                            <a:ext cx="148590" cy="171450"/>
                          </a:xfrm>
                          <a:prstGeom prst="rect">
                            <a:avLst/>
                          </a:prstGeom>
                          <a:noFill/>
                          <a:ln>
                            <a:noFill/>
                          </a:ln>
                        </pic:spPr>
                      </pic:pic>
                    </a:graphicData>
                  </a:graphic>
                </wp:inline>
              </w:drawing>
            </w:r>
            <w:r>
              <w:rPr>
                <w:sz w:val="24"/>
              </w:rPr>
              <w:t xml:space="preserve">-активность</w:t>
            </w:r>
          </w:p>
        </w:tc>
        <w:tc>
          <w:tcPr>
            <w:tcW w:w="2438" w:type="dxa"/>
          </w:tcPr>
          <w:p>
            <w:pPr>
              <w:pStyle w:val="0"/>
            </w:pPr>
            <w:r>
              <w:rPr>
                <w:sz w:val="24"/>
              </w:rPr>
            </w:r>
          </w:p>
        </w:tc>
        <w:tc>
          <w:tcPr>
            <w:tcW w:w="2438" w:type="dxa"/>
          </w:tcPr>
          <w:p>
            <w:pPr>
              <w:pStyle w:val="0"/>
            </w:pPr>
            <w:r>
              <w:rPr>
                <w:sz w:val="24"/>
              </w:rPr>
            </w:r>
          </w:p>
        </w:tc>
        <w:tc>
          <w:tcPr>
            <w:tcW w:w="2440" w:type="dxa"/>
          </w:tcPr>
          <w:p>
            <w:pPr>
              <w:pStyle w:val="0"/>
            </w:pPr>
            <w:r>
              <w:rPr>
                <w:sz w:val="24"/>
              </w:rPr>
            </w:r>
          </w:p>
        </w:tc>
      </w:tr>
      <w:tr>
        <w:tc>
          <w:tcPr>
            <w:tcW w:w="1722" w:type="dxa"/>
          </w:tcPr>
          <w:p>
            <w:pPr>
              <w:pStyle w:val="0"/>
              <w:jc w:val="center"/>
            </w:pPr>
            <w:r>
              <w:rPr>
                <w:sz w:val="24"/>
              </w:rPr>
              <w:t xml:space="preserve">Суммарная </w:t>
            </w:r>
            <w:r>
              <w:rPr>
                <w:position w:val="-6"/>
              </w:rPr>
              <w:drawing>
                <wp:inline distT="0" distB="0" distL="0" distR="0">
                  <wp:extent cx="148590" cy="24003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3">
                            <a:extLst>
                              <a:ext uri="{28A0092B-C50C-407E-A947-70E740481C1C}">
                                <a14:useLocalDpi xmlns:a14="http://schemas.microsoft.com/office/drawing/2010/main" val="0"/>
                              </a:ext>
                            </a:extLst>
                          </a:blip>
                          <a:srcRect/>
                          <a:stretch>
                            <a:fillRect/>
                          </a:stretch>
                        </pic:blipFill>
                        <pic:spPr bwMode="auto">
                          <a:xfrm>
                            <a:off x="0" y="0"/>
                            <a:ext cx="148590" cy="240030"/>
                          </a:xfrm>
                          <a:prstGeom prst="rect">
                            <a:avLst/>
                          </a:prstGeom>
                          <a:noFill/>
                          <a:ln>
                            <a:noFill/>
                          </a:ln>
                        </pic:spPr>
                      </pic:pic>
                    </a:graphicData>
                  </a:graphic>
                </wp:inline>
              </w:drawing>
            </w:r>
            <w:r>
              <w:rPr>
                <w:sz w:val="24"/>
              </w:rPr>
              <w:t xml:space="preserve">-активность</w:t>
            </w:r>
          </w:p>
        </w:tc>
        <w:tc>
          <w:tcPr>
            <w:tcW w:w="2438" w:type="dxa"/>
          </w:tcPr>
          <w:p>
            <w:pPr>
              <w:pStyle w:val="0"/>
            </w:pPr>
            <w:r>
              <w:rPr>
                <w:sz w:val="24"/>
              </w:rPr>
            </w:r>
          </w:p>
        </w:tc>
        <w:tc>
          <w:tcPr>
            <w:tcW w:w="2438" w:type="dxa"/>
          </w:tcPr>
          <w:p>
            <w:pPr>
              <w:pStyle w:val="0"/>
            </w:pPr>
            <w:r>
              <w:rPr>
                <w:sz w:val="24"/>
              </w:rPr>
            </w:r>
          </w:p>
        </w:tc>
        <w:tc>
          <w:tcPr>
            <w:tcW w:w="2440" w:type="dxa"/>
          </w:tcPr>
          <w:p>
            <w:pPr>
              <w:pStyle w:val="0"/>
            </w:pPr>
            <w:r>
              <w:rPr>
                <w:sz w:val="24"/>
              </w:rPr>
            </w:r>
          </w:p>
        </w:tc>
      </w:tr>
      <w:tr>
        <w:tc>
          <w:tcPr>
            <w:gridSpan w:val="4"/>
            <w:tcW w:w="9038" w:type="dxa"/>
          </w:tcPr>
          <w:p>
            <w:pPr>
              <w:pStyle w:val="0"/>
              <w:outlineLvl w:val="3"/>
              <w:jc w:val="center"/>
            </w:pPr>
            <w:r>
              <w:rPr>
                <w:sz w:val="24"/>
              </w:rPr>
              <w:t xml:space="preserve">В санитарно-защитных зонах радиационных объектов</w:t>
            </w:r>
          </w:p>
        </w:tc>
      </w:tr>
      <w:tr>
        <w:tc>
          <w:tcPr>
            <w:tcW w:w="1722" w:type="dxa"/>
          </w:tcPr>
          <w:p>
            <w:pPr>
              <w:pStyle w:val="0"/>
              <w:jc w:val="center"/>
            </w:pPr>
            <w:r>
              <w:rPr>
                <w:sz w:val="24"/>
                <w:vertAlign w:val="superscript"/>
              </w:rPr>
              <w:t xml:space="preserve">137</w:t>
            </w:r>
            <w:r>
              <w:rPr>
                <w:sz w:val="24"/>
              </w:rPr>
              <w:t xml:space="preserve">Cs</w:t>
            </w:r>
          </w:p>
        </w:tc>
        <w:tc>
          <w:tcPr>
            <w:tcW w:w="2438" w:type="dxa"/>
          </w:tcPr>
          <w:p>
            <w:pPr>
              <w:pStyle w:val="0"/>
            </w:pPr>
            <w:r>
              <w:rPr>
                <w:sz w:val="24"/>
              </w:rPr>
            </w:r>
          </w:p>
        </w:tc>
        <w:tc>
          <w:tcPr>
            <w:tcW w:w="2438" w:type="dxa"/>
          </w:tcPr>
          <w:p>
            <w:pPr>
              <w:pStyle w:val="0"/>
            </w:pPr>
            <w:r>
              <w:rPr>
                <w:sz w:val="24"/>
              </w:rPr>
            </w:r>
          </w:p>
        </w:tc>
        <w:tc>
          <w:tcPr>
            <w:tcW w:w="2440" w:type="dxa"/>
          </w:tcPr>
          <w:p>
            <w:pPr>
              <w:pStyle w:val="0"/>
            </w:pPr>
            <w:r>
              <w:rPr>
                <w:sz w:val="24"/>
              </w:rPr>
            </w:r>
          </w:p>
        </w:tc>
      </w:tr>
      <w:tr>
        <w:tc>
          <w:tcPr>
            <w:tcW w:w="1722" w:type="dxa"/>
          </w:tcPr>
          <w:p>
            <w:pPr>
              <w:pStyle w:val="0"/>
              <w:jc w:val="center"/>
            </w:pPr>
            <w:r>
              <w:rPr>
                <w:sz w:val="24"/>
                <w:vertAlign w:val="superscript"/>
              </w:rPr>
              <w:t xml:space="preserve">90</w:t>
            </w:r>
            <w:r>
              <w:rPr>
                <w:sz w:val="24"/>
              </w:rPr>
              <w:t xml:space="preserve">Sr</w:t>
            </w:r>
          </w:p>
        </w:tc>
        <w:tc>
          <w:tcPr>
            <w:tcW w:w="2438" w:type="dxa"/>
          </w:tcPr>
          <w:p>
            <w:pPr>
              <w:pStyle w:val="0"/>
            </w:pPr>
            <w:r>
              <w:rPr>
                <w:sz w:val="24"/>
              </w:rPr>
            </w:r>
          </w:p>
        </w:tc>
        <w:tc>
          <w:tcPr>
            <w:tcW w:w="2438" w:type="dxa"/>
          </w:tcPr>
          <w:p>
            <w:pPr>
              <w:pStyle w:val="0"/>
            </w:pPr>
            <w:r>
              <w:rPr>
                <w:sz w:val="24"/>
              </w:rPr>
            </w:r>
          </w:p>
        </w:tc>
        <w:tc>
          <w:tcPr>
            <w:tcW w:w="2440" w:type="dxa"/>
          </w:tcPr>
          <w:p>
            <w:pPr>
              <w:pStyle w:val="0"/>
            </w:pPr>
            <w:r>
              <w:rPr>
                <w:sz w:val="24"/>
              </w:rPr>
            </w:r>
          </w:p>
        </w:tc>
      </w:tr>
      <w:tr>
        <w:tc>
          <w:tcPr>
            <w:tcW w:w="1722" w:type="dxa"/>
          </w:tcPr>
          <w:p>
            <w:pPr>
              <w:pStyle w:val="0"/>
              <w:jc w:val="center"/>
            </w:pPr>
            <w:r>
              <w:rPr>
                <w:sz w:val="24"/>
                <w:vertAlign w:val="superscript"/>
              </w:rPr>
              <w:t xml:space="preserve">3</w:t>
            </w:r>
            <w:r>
              <w:rPr>
                <w:sz w:val="24"/>
              </w:rPr>
              <w:t xml:space="preserve">H</w:t>
            </w:r>
          </w:p>
        </w:tc>
        <w:tc>
          <w:tcPr>
            <w:tcW w:w="2438" w:type="dxa"/>
          </w:tcPr>
          <w:p>
            <w:pPr>
              <w:pStyle w:val="0"/>
            </w:pPr>
            <w:r>
              <w:rPr>
                <w:sz w:val="24"/>
              </w:rPr>
            </w:r>
          </w:p>
        </w:tc>
        <w:tc>
          <w:tcPr>
            <w:tcW w:w="2438" w:type="dxa"/>
          </w:tcPr>
          <w:p>
            <w:pPr>
              <w:pStyle w:val="0"/>
            </w:pPr>
            <w:r>
              <w:rPr>
                <w:sz w:val="24"/>
              </w:rPr>
            </w:r>
          </w:p>
        </w:tc>
        <w:tc>
          <w:tcPr>
            <w:tcW w:w="2440" w:type="dxa"/>
          </w:tcPr>
          <w:p>
            <w:pPr>
              <w:pStyle w:val="0"/>
            </w:pPr>
            <w:r>
              <w:rPr>
                <w:sz w:val="24"/>
              </w:rPr>
            </w:r>
          </w:p>
        </w:tc>
      </w:tr>
      <w:tr>
        <w:tc>
          <w:tcPr>
            <w:tcW w:w="1722" w:type="dxa"/>
          </w:tcPr>
          <w:p>
            <w:pPr>
              <w:pStyle w:val="0"/>
              <w:jc w:val="center"/>
            </w:pPr>
            <w:r>
              <w:rPr>
                <w:sz w:val="24"/>
              </w:rPr>
              <w:t xml:space="preserve">Суммарная </w:t>
            </w:r>
            <w:r>
              <w:rPr>
                <w:position w:val="-1"/>
              </w:rPr>
              <w:drawing>
                <wp:inline distT="0" distB="0" distL="0" distR="0">
                  <wp:extent cx="148590" cy="1714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4">
                            <a:extLst>
                              <a:ext uri="{28A0092B-C50C-407E-A947-70E740481C1C}">
                                <a14:useLocalDpi xmlns:a14="http://schemas.microsoft.com/office/drawing/2010/main" val="0"/>
                              </a:ext>
                            </a:extLst>
                          </a:blip>
                          <a:srcRect/>
                          <a:stretch>
                            <a:fillRect/>
                          </a:stretch>
                        </pic:blipFill>
                        <pic:spPr bwMode="auto">
                          <a:xfrm>
                            <a:off x="0" y="0"/>
                            <a:ext cx="148590" cy="171450"/>
                          </a:xfrm>
                          <a:prstGeom prst="rect">
                            <a:avLst/>
                          </a:prstGeom>
                          <a:noFill/>
                          <a:ln>
                            <a:noFill/>
                          </a:ln>
                        </pic:spPr>
                      </pic:pic>
                    </a:graphicData>
                  </a:graphic>
                </wp:inline>
              </w:drawing>
            </w:r>
            <w:r>
              <w:rPr>
                <w:sz w:val="24"/>
              </w:rPr>
              <w:t xml:space="preserve">-активность</w:t>
            </w:r>
          </w:p>
        </w:tc>
        <w:tc>
          <w:tcPr>
            <w:tcW w:w="2438" w:type="dxa"/>
          </w:tcPr>
          <w:p>
            <w:pPr>
              <w:pStyle w:val="0"/>
            </w:pPr>
            <w:r>
              <w:rPr>
                <w:sz w:val="24"/>
              </w:rPr>
            </w:r>
          </w:p>
        </w:tc>
        <w:tc>
          <w:tcPr>
            <w:tcW w:w="2438" w:type="dxa"/>
          </w:tcPr>
          <w:p>
            <w:pPr>
              <w:pStyle w:val="0"/>
            </w:pPr>
            <w:r>
              <w:rPr>
                <w:sz w:val="24"/>
              </w:rPr>
            </w:r>
          </w:p>
        </w:tc>
        <w:tc>
          <w:tcPr>
            <w:tcW w:w="2440" w:type="dxa"/>
          </w:tcPr>
          <w:p>
            <w:pPr>
              <w:pStyle w:val="0"/>
            </w:pPr>
            <w:r>
              <w:rPr>
                <w:sz w:val="24"/>
              </w:rPr>
            </w:r>
          </w:p>
        </w:tc>
      </w:tr>
      <w:tr>
        <w:tc>
          <w:tcPr>
            <w:tcW w:w="1722" w:type="dxa"/>
          </w:tcPr>
          <w:p>
            <w:pPr>
              <w:pStyle w:val="0"/>
              <w:jc w:val="center"/>
            </w:pPr>
            <w:r>
              <w:rPr>
                <w:sz w:val="24"/>
              </w:rPr>
              <w:t xml:space="preserve">Суммарная </w:t>
            </w:r>
            <w:r>
              <w:rPr>
                <w:position w:val="-6"/>
              </w:rPr>
              <w:drawing>
                <wp:inline distT="0" distB="0" distL="0" distR="0">
                  <wp:extent cx="148590" cy="24003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3">
                            <a:extLst>
                              <a:ext uri="{28A0092B-C50C-407E-A947-70E740481C1C}">
                                <a14:useLocalDpi xmlns:a14="http://schemas.microsoft.com/office/drawing/2010/main" val="0"/>
                              </a:ext>
                            </a:extLst>
                          </a:blip>
                          <a:srcRect/>
                          <a:stretch>
                            <a:fillRect/>
                          </a:stretch>
                        </pic:blipFill>
                        <pic:spPr bwMode="auto">
                          <a:xfrm>
                            <a:off x="0" y="0"/>
                            <a:ext cx="148590" cy="240030"/>
                          </a:xfrm>
                          <a:prstGeom prst="rect">
                            <a:avLst/>
                          </a:prstGeom>
                          <a:noFill/>
                          <a:ln>
                            <a:noFill/>
                          </a:ln>
                        </pic:spPr>
                      </pic:pic>
                    </a:graphicData>
                  </a:graphic>
                </wp:inline>
              </w:drawing>
            </w:r>
            <w:r>
              <w:rPr>
                <w:sz w:val="24"/>
              </w:rPr>
              <w:t xml:space="preserve">-активность</w:t>
            </w:r>
          </w:p>
        </w:tc>
        <w:tc>
          <w:tcPr>
            <w:tcW w:w="2438" w:type="dxa"/>
          </w:tcPr>
          <w:p>
            <w:pPr>
              <w:pStyle w:val="0"/>
            </w:pPr>
            <w:r>
              <w:rPr>
                <w:sz w:val="24"/>
              </w:rPr>
            </w:r>
          </w:p>
        </w:tc>
        <w:tc>
          <w:tcPr>
            <w:tcW w:w="2438" w:type="dxa"/>
          </w:tcPr>
          <w:p>
            <w:pPr>
              <w:pStyle w:val="0"/>
            </w:pPr>
            <w:r>
              <w:rPr>
                <w:sz w:val="24"/>
              </w:rPr>
            </w:r>
          </w:p>
        </w:tc>
        <w:tc>
          <w:tcPr>
            <w:tcW w:w="2440" w:type="dxa"/>
          </w:tcPr>
          <w:p>
            <w:pPr>
              <w:pStyle w:val="0"/>
            </w:pPr>
            <w:r>
              <w:rPr>
                <w:sz w:val="24"/>
              </w:rPr>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9071"/>
      </w:tblGrid>
      <w:tr>
        <w:tc>
          <w:tcPr>
            <w:tcW w:w="9071" w:type="dxa"/>
            <w:tcBorders>
              <w:top w:val="nil"/>
              <w:left w:val="nil"/>
              <w:bottom w:val="nil"/>
              <w:right w:val="nil"/>
            </w:tcBorders>
          </w:tcPr>
          <w:bookmarkStart w:id="1578" w:name="P1578"/>
          <w:bookmarkEnd w:id="1578"/>
          <w:p>
            <w:pPr>
              <w:pStyle w:val="0"/>
              <w:outlineLvl w:val="2"/>
            </w:pPr>
            <w:r>
              <w:rPr>
                <w:sz w:val="24"/>
              </w:rPr>
              <w:t xml:space="preserve">3.4. Удельная активность радиоактивных веществ в воде источников питьевого водоснабжения, Бк/кг</w:t>
            </w:r>
          </w:p>
        </w:tc>
      </w:tr>
    </w:tbl>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247"/>
        <w:gridCol w:w="623"/>
        <w:gridCol w:w="623"/>
        <w:gridCol w:w="542"/>
        <w:gridCol w:w="542"/>
        <w:gridCol w:w="542"/>
        <w:gridCol w:w="542"/>
        <w:gridCol w:w="542"/>
        <w:gridCol w:w="542"/>
        <w:gridCol w:w="542"/>
        <w:gridCol w:w="542"/>
        <w:gridCol w:w="542"/>
        <w:gridCol w:w="551"/>
        <w:gridCol w:w="1134"/>
      </w:tblGrid>
      <w:tr>
        <w:tc>
          <w:tcPr>
            <w:tcW w:w="1247" w:type="dxa"/>
          </w:tcPr>
          <w:p>
            <w:pPr>
              <w:pStyle w:val="0"/>
            </w:pPr>
            <w:r>
              <w:rPr>
                <w:sz w:val="24"/>
              </w:rPr>
            </w:r>
          </w:p>
        </w:tc>
        <w:tc>
          <w:tcPr>
            <w:tcW w:w="623" w:type="dxa"/>
          </w:tcPr>
          <w:bookmarkStart w:id="1581" w:name="P1581"/>
          <w:bookmarkEnd w:id="1581"/>
          <w:p>
            <w:pPr>
              <w:pStyle w:val="0"/>
              <w:jc w:val="center"/>
            </w:pPr>
            <w:r>
              <w:rPr>
                <w:sz w:val="24"/>
              </w:rPr>
              <w:t xml:space="preserve">Суммарная </w:t>
            </w:r>
            <w:r>
              <w:rPr>
                <w:position w:val="-1"/>
              </w:rPr>
              <w:drawing>
                <wp:inline distT="0" distB="0" distL="0" distR="0">
                  <wp:extent cx="148590" cy="1714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4">
                            <a:extLst>
                              <a:ext uri="{28A0092B-C50C-407E-A947-70E740481C1C}">
                                <a14:useLocalDpi xmlns:a14="http://schemas.microsoft.com/office/drawing/2010/main" val="0"/>
                              </a:ext>
                            </a:extLst>
                          </a:blip>
                          <a:srcRect/>
                          <a:stretch>
                            <a:fillRect/>
                          </a:stretch>
                        </pic:blipFill>
                        <pic:spPr bwMode="auto">
                          <a:xfrm>
                            <a:off x="0" y="0"/>
                            <a:ext cx="148590" cy="171450"/>
                          </a:xfrm>
                          <a:prstGeom prst="rect">
                            <a:avLst/>
                          </a:prstGeom>
                          <a:noFill/>
                          <a:ln>
                            <a:noFill/>
                          </a:ln>
                        </pic:spPr>
                      </pic:pic>
                    </a:graphicData>
                  </a:graphic>
                </wp:inline>
              </w:drawing>
            </w:r>
            <w:r>
              <w:rPr>
                <w:sz w:val="24"/>
              </w:rPr>
              <w:t xml:space="preserve">-активность</w:t>
            </w:r>
          </w:p>
        </w:tc>
        <w:tc>
          <w:tcPr>
            <w:tcW w:w="623" w:type="dxa"/>
          </w:tcPr>
          <w:p>
            <w:pPr>
              <w:pStyle w:val="0"/>
              <w:jc w:val="center"/>
            </w:pPr>
            <w:r>
              <w:rPr>
                <w:sz w:val="24"/>
              </w:rPr>
              <w:t xml:space="preserve">Суммарная </w:t>
            </w:r>
            <w:r>
              <w:rPr>
                <w:position w:val="-6"/>
              </w:rPr>
              <w:drawing>
                <wp:inline distT="0" distB="0" distL="0" distR="0">
                  <wp:extent cx="148590" cy="24003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3">
                            <a:extLst>
                              <a:ext uri="{28A0092B-C50C-407E-A947-70E740481C1C}">
                                <a14:useLocalDpi xmlns:a14="http://schemas.microsoft.com/office/drawing/2010/main" val="0"/>
                              </a:ext>
                            </a:extLst>
                          </a:blip>
                          <a:srcRect/>
                          <a:stretch>
                            <a:fillRect/>
                          </a:stretch>
                        </pic:blipFill>
                        <pic:spPr bwMode="auto">
                          <a:xfrm>
                            <a:off x="0" y="0"/>
                            <a:ext cx="148590" cy="240030"/>
                          </a:xfrm>
                          <a:prstGeom prst="rect">
                            <a:avLst/>
                          </a:prstGeom>
                          <a:noFill/>
                          <a:ln>
                            <a:noFill/>
                          </a:ln>
                        </pic:spPr>
                      </pic:pic>
                    </a:graphicData>
                  </a:graphic>
                </wp:inline>
              </w:drawing>
            </w:r>
            <w:r>
              <w:rPr>
                <w:sz w:val="24"/>
              </w:rPr>
              <w:t xml:space="preserve">-активность</w:t>
            </w:r>
          </w:p>
        </w:tc>
        <w:tc>
          <w:tcPr>
            <w:tcW w:w="542" w:type="dxa"/>
          </w:tcPr>
          <w:p>
            <w:pPr>
              <w:pStyle w:val="0"/>
              <w:jc w:val="center"/>
            </w:pPr>
            <w:r>
              <w:rPr>
                <w:sz w:val="24"/>
                <w:vertAlign w:val="superscript"/>
              </w:rPr>
              <w:t xml:space="preserve">238</w:t>
            </w:r>
            <w:r>
              <w:rPr>
                <w:sz w:val="24"/>
              </w:rPr>
              <w:t xml:space="preserve">U</w:t>
            </w:r>
          </w:p>
        </w:tc>
        <w:tc>
          <w:tcPr>
            <w:tcW w:w="542" w:type="dxa"/>
          </w:tcPr>
          <w:p>
            <w:pPr>
              <w:pStyle w:val="0"/>
              <w:jc w:val="center"/>
            </w:pPr>
            <w:r>
              <w:rPr>
                <w:sz w:val="24"/>
                <w:vertAlign w:val="superscript"/>
              </w:rPr>
              <w:t xml:space="preserve">234</w:t>
            </w:r>
            <w:r>
              <w:rPr>
                <w:sz w:val="24"/>
              </w:rPr>
              <w:t xml:space="preserve">U</w:t>
            </w:r>
          </w:p>
        </w:tc>
        <w:tc>
          <w:tcPr>
            <w:tcW w:w="542" w:type="dxa"/>
          </w:tcPr>
          <w:p>
            <w:pPr>
              <w:pStyle w:val="0"/>
              <w:jc w:val="center"/>
            </w:pPr>
            <w:r>
              <w:rPr>
                <w:sz w:val="24"/>
                <w:vertAlign w:val="superscript"/>
              </w:rPr>
              <w:t xml:space="preserve">226</w:t>
            </w:r>
            <w:r>
              <w:rPr>
                <w:sz w:val="24"/>
              </w:rPr>
              <w:t xml:space="preserve">Ra</w:t>
            </w:r>
          </w:p>
        </w:tc>
        <w:tc>
          <w:tcPr>
            <w:tcW w:w="542" w:type="dxa"/>
          </w:tcPr>
          <w:p>
            <w:pPr>
              <w:pStyle w:val="0"/>
              <w:jc w:val="center"/>
            </w:pPr>
            <w:r>
              <w:rPr>
                <w:sz w:val="24"/>
                <w:vertAlign w:val="superscript"/>
              </w:rPr>
              <w:t xml:space="preserve">228</w:t>
            </w:r>
            <w:r>
              <w:rPr>
                <w:sz w:val="24"/>
              </w:rPr>
              <w:t xml:space="preserve">Ra</w:t>
            </w:r>
          </w:p>
        </w:tc>
        <w:tc>
          <w:tcPr>
            <w:tcW w:w="542" w:type="dxa"/>
          </w:tcPr>
          <w:p>
            <w:pPr>
              <w:pStyle w:val="0"/>
              <w:jc w:val="center"/>
            </w:pPr>
            <w:r>
              <w:rPr>
                <w:sz w:val="24"/>
                <w:vertAlign w:val="superscript"/>
              </w:rPr>
              <w:t xml:space="preserve">210</w:t>
            </w:r>
            <w:r>
              <w:rPr>
                <w:sz w:val="24"/>
              </w:rPr>
              <w:t xml:space="preserve">Po</w:t>
            </w:r>
          </w:p>
        </w:tc>
        <w:tc>
          <w:tcPr>
            <w:tcW w:w="542" w:type="dxa"/>
          </w:tcPr>
          <w:p>
            <w:pPr>
              <w:pStyle w:val="0"/>
              <w:jc w:val="center"/>
            </w:pPr>
            <w:r>
              <w:rPr>
                <w:sz w:val="24"/>
                <w:vertAlign w:val="superscript"/>
              </w:rPr>
              <w:t xml:space="preserve">210</w:t>
            </w:r>
            <w:r>
              <w:rPr>
                <w:sz w:val="24"/>
              </w:rPr>
              <w:t xml:space="preserve">Pb</w:t>
            </w:r>
          </w:p>
        </w:tc>
        <w:tc>
          <w:tcPr>
            <w:tcW w:w="542" w:type="dxa"/>
          </w:tcPr>
          <w:p>
            <w:pPr>
              <w:pStyle w:val="0"/>
              <w:jc w:val="center"/>
            </w:pPr>
            <w:r>
              <w:rPr>
                <w:sz w:val="24"/>
                <w:vertAlign w:val="superscript"/>
              </w:rPr>
              <w:t xml:space="preserve">222</w:t>
            </w:r>
            <w:r>
              <w:rPr>
                <w:sz w:val="24"/>
              </w:rPr>
              <w:t xml:space="preserve">Rn</w:t>
            </w:r>
          </w:p>
        </w:tc>
        <w:tc>
          <w:tcPr>
            <w:tcW w:w="542" w:type="dxa"/>
          </w:tcPr>
          <w:p>
            <w:pPr>
              <w:pStyle w:val="0"/>
              <w:jc w:val="center"/>
            </w:pPr>
            <w:r>
              <w:rPr>
                <w:sz w:val="24"/>
                <w:vertAlign w:val="superscript"/>
              </w:rPr>
              <w:t xml:space="preserve">137</w:t>
            </w:r>
            <w:r>
              <w:rPr>
                <w:sz w:val="24"/>
              </w:rPr>
              <w:t xml:space="preserve">Cs</w:t>
            </w:r>
          </w:p>
        </w:tc>
        <w:tc>
          <w:tcPr>
            <w:tcW w:w="542" w:type="dxa"/>
          </w:tcPr>
          <w:p>
            <w:pPr>
              <w:pStyle w:val="0"/>
              <w:jc w:val="center"/>
            </w:pPr>
            <w:r>
              <w:rPr>
                <w:sz w:val="24"/>
                <w:vertAlign w:val="superscript"/>
              </w:rPr>
              <w:t xml:space="preserve">90</w:t>
            </w:r>
            <w:r>
              <w:rPr>
                <w:sz w:val="24"/>
              </w:rPr>
              <w:t xml:space="preserve">Sr</w:t>
            </w:r>
          </w:p>
        </w:tc>
        <w:tc>
          <w:tcPr>
            <w:tcW w:w="551" w:type="dxa"/>
          </w:tcPr>
          <w:p>
            <w:pPr>
              <w:pStyle w:val="0"/>
              <w:jc w:val="center"/>
            </w:pPr>
            <w:r>
              <w:rPr>
                <w:sz w:val="24"/>
                <w:vertAlign w:val="superscript"/>
              </w:rPr>
              <w:t xml:space="preserve">3</w:t>
            </w:r>
            <w:r>
              <w:rPr>
                <w:sz w:val="24"/>
              </w:rPr>
              <w:t xml:space="preserve">H</w:t>
            </w:r>
          </w:p>
        </w:tc>
        <w:tc>
          <w:tcPr>
            <w:tcW w:w="1134" w:type="dxa"/>
          </w:tcPr>
          <w:p>
            <w:pPr>
              <w:pStyle w:val="0"/>
              <w:jc w:val="center"/>
            </w:pPr>
            <w:r>
              <w:rPr>
                <w:position w:val="-28"/>
              </w:rPr>
              <w:drawing>
                <wp:inline distT="0" distB="0" distL="0" distR="0">
                  <wp:extent cx="560070" cy="5143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5">
                            <a:extLst>
                              <a:ext uri="{28A0092B-C50C-407E-A947-70E740481C1C}">
                                <a14:useLocalDpi xmlns:a14="http://schemas.microsoft.com/office/drawing/2010/main" val="0"/>
                              </a:ext>
                            </a:extLst>
                          </a:blip>
                          <a:srcRect/>
                          <a:stretch>
                            <a:fillRect/>
                          </a:stretch>
                        </pic:blipFill>
                        <pic:spPr bwMode="auto">
                          <a:xfrm>
                            <a:off x="0" y="0"/>
                            <a:ext cx="560070" cy="514350"/>
                          </a:xfrm>
                          <a:prstGeom prst="rect">
                            <a:avLst/>
                          </a:prstGeom>
                          <a:noFill/>
                          <a:ln>
                            <a:noFill/>
                          </a:ln>
                        </pic:spPr>
                      </pic:pic>
                    </a:graphicData>
                  </a:graphic>
                </wp:inline>
              </w:drawing>
            </w:r>
          </w:p>
        </w:tc>
      </w:tr>
      <w:tr>
        <w:tc>
          <w:tcPr>
            <w:tcW w:w="1247" w:type="dxa"/>
          </w:tcPr>
          <w:p>
            <w:pPr>
              <w:pStyle w:val="0"/>
            </w:pPr>
            <w:r>
              <w:rPr>
                <w:sz w:val="24"/>
              </w:rPr>
              <w:t xml:space="preserve">Число исследованных проб</w:t>
            </w:r>
          </w:p>
        </w:tc>
        <w:tc>
          <w:tcPr>
            <w:tcW w:w="623" w:type="dxa"/>
          </w:tcPr>
          <w:p>
            <w:pPr>
              <w:pStyle w:val="0"/>
            </w:pPr>
            <w:r>
              <w:rPr>
                <w:sz w:val="24"/>
              </w:rPr>
            </w:r>
          </w:p>
        </w:tc>
        <w:tc>
          <w:tcPr>
            <w:tcW w:w="623" w:type="dxa"/>
          </w:tcPr>
          <w:p>
            <w:pPr>
              <w:pStyle w:val="0"/>
            </w:pPr>
            <w:r>
              <w:rPr>
                <w:sz w:val="24"/>
              </w:rPr>
            </w:r>
          </w:p>
        </w:tc>
        <w:tc>
          <w:tcPr>
            <w:tcW w:w="542" w:type="dxa"/>
          </w:tcPr>
          <w:p>
            <w:pPr>
              <w:pStyle w:val="0"/>
            </w:pPr>
            <w:r>
              <w:rPr>
                <w:sz w:val="24"/>
              </w:rPr>
            </w:r>
          </w:p>
        </w:tc>
        <w:tc>
          <w:tcPr>
            <w:tcW w:w="542" w:type="dxa"/>
          </w:tcPr>
          <w:p>
            <w:pPr>
              <w:pStyle w:val="0"/>
            </w:pPr>
            <w:r>
              <w:rPr>
                <w:sz w:val="24"/>
              </w:rPr>
            </w:r>
          </w:p>
        </w:tc>
        <w:tc>
          <w:tcPr>
            <w:tcW w:w="542" w:type="dxa"/>
          </w:tcPr>
          <w:p>
            <w:pPr>
              <w:pStyle w:val="0"/>
            </w:pPr>
            <w:r>
              <w:rPr>
                <w:sz w:val="24"/>
              </w:rPr>
            </w:r>
          </w:p>
        </w:tc>
        <w:tc>
          <w:tcPr>
            <w:tcW w:w="542" w:type="dxa"/>
          </w:tcPr>
          <w:p>
            <w:pPr>
              <w:pStyle w:val="0"/>
            </w:pPr>
            <w:r>
              <w:rPr>
                <w:sz w:val="24"/>
              </w:rPr>
            </w:r>
          </w:p>
        </w:tc>
        <w:tc>
          <w:tcPr>
            <w:tcW w:w="542" w:type="dxa"/>
          </w:tcPr>
          <w:p>
            <w:pPr>
              <w:pStyle w:val="0"/>
            </w:pPr>
            <w:r>
              <w:rPr>
                <w:sz w:val="24"/>
              </w:rPr>
            </w:r>
          </w:p>
        </w:tc>
        <w:tc>
          <w:tcPr>
            <w:tcW w:w="542" w:type="dxa"/>
          </w:tcPr>
          <w:p>
            <w:pPr>
              <w:pStyle w:val="0"/>
            </w:pPr>
            <w:r>
              <w:rPr>
                <w:sz w:val="24"/>
              </w:rPr>
            </w:r>
          </w:p>
        </w:tc>
        <w:tc>
          <w:tcPr>
            <w:tcW w:w="542" w:type="dxa"/>
          </w:tcPr>
          <w:p>
            <w:pPr>
              <w:pStyle w:val="0"/>
            </w:pPr>
            <w:r>
              <w:rPr>
                <w:sz w:val="24"/>
              </w:rPr>
            </w:r>
          </w:p>
        </w:tc>
        <w:tc>
          <w:tcPr>
            <w:tcW w:w="542" w:type="dxa"/>
          </w:tcPr>
          <w:p>
            <w:pPr>
              <w:pStyle w:val="0"/>
            </w:pPr>
            <w:r>
              <w:rPr>
                <w:sz w:val="24"/>
              </w:rPr>
            </w:r>
          </w:p>
        </w:tc>
        <w:tc>
          <w:tcPr>
            <w:tcW w:w="542" w:type="dxa"/>
          </w:tcPr>
          <w:p>
            <w:pPr>
              <w:pStyle w:val="0"/>
            </w:pPr>
            <w:r>
              <w:rPr>
                <w:sz w:val="24"/>
              </w:rPr>
            </w:r>
          </w:p>
        </w:tc>
        <w:tc>
          <w:tcPr>
            <w:tcW w:w="551" w:type="dxa"/>
          </w:tcPr>
          <w:p>
            <w:pPr>
              <w:pStyle w:val="0"/>
            </w:pPr>
            <w:r>
              <w:rPr>
                <w:sz w:val="24"/>
              </w:rPr>
            </w:r>
          </w:p>
        </w:tc>
        <w:tc>
          <w:tcPr>
            <w:tcW w:w="1134" w:type="dxa"/>
          </w:tcPr>
          <w:p>
            <w:pPr>
              <w:pStyle w:val="0"/>
            </w:pPr>
            <w:r>
              <w:rPr>
                <w:sz w:val="24"/>
              </w:rPr>
            </w:r>
          </w:p>
        </w:tc>
      </w:tr>
      <w:tr>
        <w:tc>
          <w:tcPr>
            <w:tcW w:w="1247" w:type="dxa"/>
          </w:tcPr>
          <w:p>
            <w:pPr>
              <w:pStyle w:val="0"/>
            </w:pPr>
            <w:r>
              <w:rPr>
                <w:sz w:val="24"/>
              </w:rPr>
              <w:t xml:space="preserve">Из них с превышением гигиенических нормативов</w:t>
            </w:r>
          </w:p>
        </w:tc>
        <w:tc>
          <w:tcPr>
            <w:tcW w:w="623" w:type="dxa"/>
          </w:tcPr>
          <w:p>
            <w:pPr>
              <w:pStyle w:val="0"/>
            </w:pPr>
            <w:r>
              <w:rPr>
                <w:sz w:val="24"/>
              </w:rPr>
            </w:r>
          </w:p>
        </w:tc>
        <w:tc>
          <w:tcPr>
            <w:tcW w:w="623" w:type="dxa"/>
          </w:tcPr>
          <w:p>
            <w:pPr>
              <w:pStyle w:val="0"/>
            </w:pPr>
            <w:r>
              <w:rPr>
                <w:sz w:val="24"/>
              </w:rPr>
            </w:r>
          </w:p>
        </w:tc>
        <w:tc>
          <w:tcPr>
            <w:tcW w:w="542" w:type="dxa"/>
          </w:tcPr>
          <w:p>
            <w:pPr>
              <w:pStyle w:val="0"/>
            </w:pPr>
            <w:r>
              <w:rPr>
                <w:sz w:val="24"/>
              </w:rPr>
            </w:r>
          </w:p>
        </w:tc>
        <w:tc>
          <w:tcPr>
            <w:tcW w:w="542" w:type="dxa"/>
          </w:tcPr>
          <w:p>
            <w:pPr>
              <w:pStyle w:val="0"/>
            </w:pPr>
            <w:r>
              <w:rPr>
                <w:sz w:val="24"/>
              </w:rPr>
            </w:r>
          </w:p>
        </w:tc>
        <w:tc>
          <w:tcPr>
            <w:tcW w:w="542" w:type="dxa"/>
          </w:tcPr>
          <w:p>
            <w:pPr>
              <w:pStyle w:val="0"/>
            </w:pPr>
            <w:r>
              <w:rPr>
                <w:sz w:val="24"/>
              </w:rPr>
            </w:r>
          </w:p>
        </w:tc>
        <w:tc>
          <w:tcPr>
            <w:tcW w:w="542" w:type="dxa"/>
          </w:tcPr>
          <w:p>
            <w:pPr>
              <w:pStyle w:val="0"/>
            </w:pPr>
            <w:r>
              <w:rPr>
                <w:sz w:val="24"/>
              </w:rPr>
            </w:r>
          </w:p>
        </w:tc>
        <w:tc>
          <w:tcPr>
            <w:tcW w:w="542" w:type="dxa"/>
          </w:tcPr>
          <w:p>
            <w:pPr>
              <w:pStyle w:val="0"/>
            </w:pPr>
            <w:r>
              <w:rPr>
                <w:sz w:val="24"/>
              </w:rPr>
            </w:r>
          </w:p>
        </w:tc>
        <w:tc>
          <w:tcPr>
            <w:tcW w:w="542" w:type="dxa"/>
          </w:tcPr>
          <w:p>
            <w:pPr>
              <w:pStyle w:val="0"/>
            </w:pPr>
            <w:r>
              <w:rPr>
                <w:sz w:val="24"/>
              </w:rPr>
            </w:r>
          </w:p>
        </w:tc>
        <w:tc>
          <w:tcPr>
            <w:tcW w:w="542" w:type="dxa"/>
          </w:tcPr>
          <w:p>
            <w:pPr>
              <w:pStyle w:val="0"/>
            </w:pPr>
            <w:r>
              <w:rPr>
                <w:sz w:val="24"/>
              </w:rPr>
            </w:r>
          </w:p>
        </w:tc>
        <w:tc>
          <w:tcPr>
            <w:tcW w:w="542" w:type="dxa"/>
          </w:tcPr>
          <w:p>
            <w:pPr>
              <w:pStyle w:val="0"/>
            </w:pPr>
            <w:r>
              <w:rPr>
                <w:sz w:val="24"/>
              </w:rPr>
            </w:r>
          </w:p>
        </w:tc>
        <w:tc>
          <w:tcPr>
            <w:tcW w:w="542" w:type="dxa"/>
          </w:tcPr>
          <w:p>
            <w:pPr>
              <w:pStyle w:val="0"/>
            </w:pPr>
            <w:r>
              <w:rPr>
                <w:sz w:val="24"/>
              </w:rPr>
            </w:r>
          </w:p>
        </w:tc>
        <w:tc>
          <w:tcPr>
            <w:tcW w:w="551" w:type="dxa"/>
          </w:tcPr>
          <w:p>
            <w:pPr>
              <w:pStyle w:val="0"/>
            </w:pPr>
            <w:r>
              <w:rPr>
                <w:sz w:val="24"/>
              </w:rPr>
            </w:r>
          </w:p>
        </w:tc>
        <w:tc>
          <w:tcPr>
            <w:tcW w:w="1134" w:type="dxa"/>
          </w:tcPr>
          <w:p>
            <w:pPr>
              <w:pStyle w:val="0"/>
            </w:pPr>
            <w:r>
              <w:rPr>
                <w:sz w:val="24"/>
              </w:rPr>
            </w:r>
          </w:p>
        </w:tc>
      </w:tr>
      <w:tr>
        <w:tc>
          <w:tcPr>
            <w:tcW w:w="1247" w:type="dxa"/>
          </w:tcPr>
          <w:p>
            <w:pPr>
              <w:pStyle w:val="0"/>
            </w:pPr>
            <w:r>
              <w:rPr>
                <w:sz w:val="24"/>
              </w:rPr>
              <w:t xml:space="preserve">Среднее значение</w:t>
            </w:r>
          </w:p>
        </w:tc>
        <w:tc>
          <w:tcPr>
            <w:tcW w:w="623" w:type="dxa"/>
          </w:tcPr>
          <w:p>
            <w:pPr>
              <w:pStyle w:val="0"/>
            </w:pPr>
            <w:r>
              <w:rPr>
                <w:sz w:val="24"/>
              </w:rPr>
            </w:r>
          </w:p>
        </w:tc>
        <w:tc>
          <w:tcPr>
            <w:tcW w:w="623" w:type="dxa"/>
          </w:tcPr>
          <w:p>
            <w:pPr>
              <w:pStyle w:val="0"/>
            </w:pPr>
            <w:r>
              <w:rPr>
                <w:sz w:val="24"/>
              </w:rPr>
            </w:r>
          </w:p>
        </w:tc>
        <w:tc>
          <w:tcPr>
            <w:tcW w:w="542" w:type="dxa"/>
          </w:tcPr>
          <w:p>
            <w:pPr>
              <w:pStyle w:val="0"/>
            </w:pPr>
            <w:r>
              <w:rPr>
                <w:sz w:val="24"/>
              </w:rPr>
            </w:r>
          </w:p>
        </w:tc>
        <w:tc>
          <w:tcPr>
            <w:tcW w:w="542" w:type="dxa"/>
          </w:tcPr>
          <w:p>
            <w:pPr>
              <w:pStyle w:val="0"/>
            </w:pPr>
            <w:r>
              <w:rPr>
                <w:sz w:val="24"/>
              </w:rPr>
            </w:r>
          </w:p>
        </w:tc>
        <w:tc>
          <w:tcPr>
            <w:tcW w:w="542" w:type="dxa"/>
          </w:tcPr>
          <w:p>
            <w:pPr>
              <w:pStyle w:val="0"/>
            </w:pPr>
            <w:r>
              <w:rPr>
                <w:sz w:val="24"/>
              </w:rPr>
            </w:r>
          </w:p>
        </w:tc>
        <w:tc>
          <w:tcPr>
            <w:tcW w:w="542" w:type="dxa"/>
          </w:tcPr>
          <w:p>
            <w:pPr>
              <w:pStyle w:val="0"/>
            </w:pPr>
            <w:r>
              <w:rPr>
                <w:sz w:val="24"/>
              </w:rPr>
            </w:r>
          </w:p>
        </w:tc>
        <w:tc>
          <w:tcPr>
            <w:tcW w:w="542" w:type="dxa"/>
          </w:tcPr>
          <w:p>
            <w:pPr>
              <w:pStyle w:val="0"/>
            </w:pPr>
            <w:r>
              <w:rPr>
                <w:sz w:val="24"/>
              </w:rPr>
            </w:r>
          </w:p>
        </w:tc>
        <w:tc>
          <w:tcPr>
            <w:tcW w:w="542" w:type="dxa"/>
          </w:tcPr>
          <w:p>
            <w:pPr>
              <w:pStyle w:val="0"/>
            </w:pPr>
            <w:r>
              <w:rPr>
                <w:sz w:val="24"/>
              </w:rPr>
            </w:r>
          </w:p>
        </w:tc>
        <w:tc>
          <w:tcPr>
            <w:tcW w:w="542" w:type="dxa"/>
          </w:tcPr>
          <w:p>
            <w:pPr>
              <w:pStyle w:val="0"/>
            </w:pPr>
            <w:r>
              <w:rPr>
                <w:sz w:val="24"/>
              </w:rPr>
            </w:r>
          </w:p>
        </w:tc>
        <w:tc>
          <w:tcPr>
            <w:tcW w:w="542" w:type="dxa"/>
          </w:tcPr>
          <w:p>
            <w:pPr>
              <w:pStyle w:val="0"/>
            </w:pPr>
            <w:r>
              <w:rPr>
                <w:sz w:val="24"/>
              </w:rPr>
            </w:r>
          </w:p>
        </w:tc>
        <w:tc>
          <w:tcPr>
            <w:tcW w:w="542" w:type="dxa"/>
          </w:tcPr>
          <w:p>
            <w:pPr>
              <w:pStyle w:val="0"/>
            </w:pPr>
            <w:r>
              <w:rPr>
                <w:sz w:val="24"/>
              </w:rPr>
            </w:r>
          </w:p>
        </w:tc>
        <w:tc>
          <w:tcPr>
            <w:tcW w:w="551" w:type="dxa"/>
          </w:tcPr>
          <w:p>
            <w:pPr>
              <w:pStyle w:val="0"/>
            </w:pPr>
            <w:r>
              <w:rPr>
                <w:sz w:val="24"/>
              </w:rPr>
            </w:r>
          </w:p>
        </w:tc>
        <w:tc>
          <w:tcPr>
            <w:tcW w:w="1134" w:type="dxa"/>
          </w:tcPr>
          <w:p>
            <w:pPr>
              <w:pStyle w:val="0"/>
            </w:pPr>
            <w:r>
              <w:rPr>
                <w:sz w:val="24"/>
              </w:rPr>
            </w:r>
          </w:p>
        </w:tc>
      </w:tr>
      <w:tr>
        <w:tc>
          <w:tcPr>
            <w:tcW w:w="1247" w:type="dxa"/>
          </w:tcPr>
          <w:p>
            <w:pPr>
              <w:pStyle w:val="0"/>
            </w:pPr>
            <w:r>
              <w:rPr>
                <w:sz w:val="24"/>
              </w:rPr>
              <w:t xml:space="preserve">Максимум</w:t>
            </w:r>
          </w:p>
        </w:tc>
        <w:tc>
          <w:tcPr>
            <w:tcW w:w="623" w:type="dxa"/>
          </w:tcPr>
          <w:p>
            <w:pPr>
              <w:pStyle w:val="0"/>
            </w:pPr>
            <w:r>
              <w:rPr>
                <w:sz w:val="24"/>
              </w:rPr>
            </w:r>
          </w:p>
        </w:tc>
        <w:tc>
          <w:tcPr>
            <w:tcW w:w="623" w:type="dxa"/>
          </w:tcPr>
          <w:p>
            <w:pPr>
              <w:pStyle w:val="0"/>
            </w:pPr>
            <w:r>
              <w:rPr>
                <w:sz w:val="24"/>
              </w:rPr>
            </w:r>
          </w:p>
        </w:tc>
        <w:tc>
          <w:tcPr>
            <w:tcW w:w="542" w:type="dxa"/>
          </w:tcPr>
          <w:p>
            <w:pPr>
              <w:pStyle w:val="0"/>
            </w:pPr>
            <w:r>
              <w:rPr>
                <w:sz w:val="24"/>
              </w:rPr>
            </w:r>
          </w:p>
        </w:tc>
        <w:tc>
          <w:tcPr>
            <w:tcW w:w="542" w:type="dxa"/>
          </w:tcPr>
          <w:p>
            <w:pPr>
              <w:pStyle w:val="0"/>
            </w:pPr>
            <w:r>
              <w:rPr>
                <w:sz w:val="24"/>
              </w:rPr>
            </w:r>
          </w:p>
        </w:tc>
        <w:tc>
          <w:tcPr>
            <w:tcW w:w="542" w:type="dxa"/>
          </w:tcPr>
          <w:p>
            <w:pPr>
              <w:pStyle w:val="0"/>
            </w:pPr>
            <w:r>
              <w:rPr>
                <w:sz w:val="24"/>
              </w:rPr>
            </w:r>
          </w:p>
        </w:tc>
        <w:tc>
          <w:tcPr>
            <w:tcW w:w="542" w:type="dxa"/>
          </w:tcPr>
          <w:p>
            <w:pPr>
              <w:pStyle w:val="0"/>
            </w:pPr>
            <w:r>
              <w:rPr>
                <w:sz w:val="24"/>
              </w:rPr>
            </w:r>
          </w:p>
        </w:tc>
        <w:tc>
          <w:tcPr>
            <w:tcW w:w="542" w:type="dxa"/>
          </w:tcPr>
          <w:p>
            <w:pPr>
              <w:pStyle w:val="0"/>
            </w:pPr>
            <w:r>
              <w:rPr>
                <w:sz w:val="24"/>
              </w:rPr>
            </w:r>
          </w:p>
        </w:tc>
        <w:tc>
          <w:tcPr>
            <w:tcW w:w="542" w:type="dxa"/>
          </w:tcPr>
          <w:p>
            <w:pPr>
              <w:pStyle w:val="0"/>
            </w:pPr>
            <w:r>
              <w:rPr>
                <w:sz w:val="24"/>
              </w:rPr>
            </w:r>
          </w:p>
        </w:tc>
        <w:tc>
          <w:tcPr>
            <w:tcW w:w="542" w:type="dxa"/>
          </w:tcPr>
          <w:p>
            <w:pPr>
              <w:pStyle w:val="0"/>
            </w:pPr>
            <w:r>
              <w:rPr>
                <w:sz w:val="24"/>
              </w:rPr>
            </w:r>
          </w:p>
        </w:tc>
        <w:tc>
          <w:tcPr>
            <w:tcW w:w="542" w:type="dxa"/>
          </w:tcPr>
          <w:p>
            <w:pPr>
              <w:pStyle w:val="0"/>
            </w:pPr>
            <w:r>
              <w:rPr>
                <w:sz w:val="24"/>
              </w:rPr>
            </w:r>
          </w:p>
        </w:tc>
        <w:tc>
          <w:tcPr>
            <w:tcW w:w="542" w:type="dxa"/>
          </w:tcPr>
          <w:p>
            <w:pPr>
              <w:pStyle w:val="0"/>
            </w:pPr>
            <w:r>
              <w:rPr>
                <w:sz w:val="24"/>
              </w:rPr>
            </w:r>
          </w:p>
        </w:tc>
        <w:tc>
          <w:tcPr>
            <w:tcW w:w="551" w:type="dxa"/>
          </w:tcPr>
          <w:p>
            <w:pPr>
              <w:pStyle w:val="0"/>
            </w:pPr>
            <w:r>
              <w:rPr>
                <w:sz w:val="24"/>
              </w:rPr>
            </w:r>
          </w:p>
        </w:tc>
        <w:tc>
          <w:tcPr>
            <w:tcW w:w="1134" w:type="dxa"/>
          </w:tcPr>
          <w:p>
            <w:pPr>
              <w:pStyle w:val="0"/>
            </w:pPr>
            <w:r>
              <w:rPr>
                <w:sz w:val="24"/>
              </w:rPr>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9071"/>
      </w:tblGrid>
      <w:tr>
        <w:tc>
          <w:tcPr>
            <w:tcW w:w="9071" w:type="dxa"/>
            <w:tcBorders>
              <w:top w:val="nil"/>
              <w:left w:val="nil"/>
              <w:bottom w:val="nil"/>
              <w:right w:val="nil"/>
            </w:tcBorders>
          </w:tcPr>
          <w:bookmarkStart w:id="1651" w:name="P1651"/>
          <w:bookmarkEnd w:id="1651"/>
          <w:p>
            <w:pPr>
              <w:pStyle w:val="0"/>
              <w:outlineLvl w:val="2"/>
              <w:jc w:val="both"/>
            </w:pPr>
            <w:r>
              <w:rPr>
                <w:sz w:val="24"/>
              </w:rPr>
              <w:t xml:space="preserve">3.5. Удельная активность радиоактивных веществ в пищевых продуктах, Бк/кг</w:t>
            </w:r>
          </w:p>
        </w:tc>
      </w:tr>
    </w:tbl>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2324"/>
        <w:gridCol w:w="716"/>
        <w:gridCol w:w="1077"/>
        <w:gridCol w:w="794"/>
        <w:gridCol w:w="794"/>
        <w:gridCol w:w="680"/>
        <w:gridCol w:w="1077"/>
        <w:gridCol w:w="794"/>
        <w:gridCol w:w="794"/>
      </w:tblGrid>
      <w:tr>
        <w:tc>
          <w:tcPr>
            <w:tcW w:w="2324" w:type="dxa"/>
            <w:vMerge w:val="restart"/>
          </w:tcPr>
          <w:bookmarkStart w:id="1653" w:name="P1653"/>
          <w:bookmarkEnd w:id="1653"/>
          <w:p>
            <w:pPr>
              <w:pStyle w:val="0"/>
              <w:jc w:val="center"/>
            </w:pPr>
            <w:r>
              <w:rPr>
                <w:sz w:val="24"/>
              </w:rPr>
              <w:t xml:space="preserve">Пищевые продукты</w:t>
            </w:r>
          </w:p>
        </w:tc>
        <w:tc>
          <w:tcPr>
            <w:gridSpan w:val="4"/>
            <w:tcW w:w="3381" w:type="dxa"/>
          </w:tcPr>
          <w:p>
            <w:pPr>
              <w:pStyle w:val="0"/>
              <w:jc w:val="center"/>
            </w:pPr>
            <w:r>
              <w:rPr>
                <w:sz w:val="24"/>
                <w:vertAlign w:val="superscript"/>
              </w:rPr>
              <w:t xml:space="preserve">137</w:t>
            </w:r>
            <w:r>
              <w:rPr>
                <w:sz w:val="24"/>
              </w:rPr>
              <w:t xml:space="preserve">Cs</w:t>
            </w:r>
          </w:p>
        </w:tc>
        <w:tc>
          <w:tcPr>
            <w:gridSpan w:val="4"/>
            <w:tcW w:w="3345" w:type="dxa"/>
          </w:tcPr>
          <w:p>
            <w:pPr>
              <w:pStyle w:val="0"/>
              <w:jc w:val="center"/>
            </w:pPr>
            <w:r>
              <w:rPr>
                <w:sz w:val="24"/>
                <w:vertAlign w:val="superscript"/>
              </w:rPr>
              <w:t xml:space="preserve">90</w:t>
            </w:r>
            <w:r>
              <w:rPr>
                <w:sz w:val="24"/>
              </w:rPr>
              <w:t xml:space="preserve">Sr</w:t>
            </w:r>
          </w:p>
        </w:tc>
      </w:tr>
      <w:tr>
        <w:tc>
          <w:tcPr>
            <w:vMerge w:val="continue"/>
          </w:tcPr>
          <w:p/>
        </w:tc>
        <w:tc>
          <w:tcPr>
            <w:gridSpan w:val="2"/>
            <w:tcW w:w="1793" w:type="dxa"/>
          </w:tcPr>
          <w:p>
            <w:pPr>
              <w:pStyle w:val="0"/>
              <w:jc w:val="center"/>
            </w:pPr>
            <w:r>
              <w:rPr>
                <w:sz w:val="24"/>
              </w:rPr>
              <w:t xml:space="preserve">Число исследованных проб</w:t>
            </w:r>
          </w:p>
        </w:tc>
        <w:tc>
          <w:tcPr>
            <w:gridSpan w:val="2"/>
            <w:tcW w:w="1588" w:type="dxa"/>
          </w:tcPr>
          <w:p>
            <w:pPr>
              <w:pStyle w:val="0"/>
              <w:jc w:val="center"/>
            </w:pPr>
            <w:r>
              <w:rPr>
                <w:sz w:val="24"/>
              </w:rPr>
              <w:t xml:space="preserve">Удельная активность</w:t>
            </w:r>
          </w:p>
        </w:tc>
        <w:tc>
          <w:tcPr>
            <w:gridSpan w:val="2"/>
            <w:tcW w:w="1757" w:type="dxa"/>
          </w:tcPr>
          <w:p>
            <w:pPr>
              <w:pStyle w:val="0"/>
              <w:jc w:val="center"/>
            </w:pPr>
            <w:r>
              <w:rPr>
                <w:sz w:val="24"/>
              </w:rPr>
              <w:t xml:space="preserve">Число исследованных проб</w:t>
            </w:r>
          </w:p>
        </w:tc>
        <w:tc>
          <w:tcPr>
            <w:gridSpan w:val="2"/>
            <w:tcW w:w="1588" w:type="dxa"/>
          </w:tcPr>
          <w:p>
            <w:pPr>
              <w:pStyle w:val="0"/>
              <w:jc w:val="center"/>
            </w:pPr>
            <w:r>
              <w:rPr>
                <w:sz w:val="24"/>
              </w:rPr>
              <w:t xml:space="preserve">Удельная активность</w:t>
            </w:r>
          </w:p>
        </w:tc>
      </w:tr>
      <w:tr>
        <w:tc>
          <w:tcPr>
            <w:vMerge w:val="continue"/>
          </w:tcPr>
          <w:p/>
        </w:tc>
        <w:tc>
          <w:tcPr>
            <w:tcW w:w="716" w:type="dxa"/>
          </w:tcPr>
          <w:p>
            <w:pPr>
              <w:pStyle w:val="0"/>
              <w:jc w:val="center"/>
            </w:pPr>
            <w:r>
              <w:rPr>
                <w:sz w:val="24"/>
              </w:rPr>
              <w:t xml:space="preserve">Всего</w:t>
            </w:r>
          </w:p>
        </w:tc>
        <w:tc>
          <w:tcPr>
            <w:tcW w:w="1077" w:type="dxa"/>
          </w:tcPr>
          <w:p>
            <w:pPr>
              <w:pStyle w:val="0"/>
              <w:jc w:val="center"/>
            </w:pPr>
            <w:r>
              <w:rPr>
                <w:sz w:val="24"/>
              </w:rPr>
              <w:t xml:space="preserve">с превышением гигиенических нормативов</w:t>
            </w:r>
          </w:p>
        </w:tc>
        <w:tc>
          <w:tcPr>
            <w:tcW w:w="794" w:type="dxa"/>
          </w:tcPr>
          <w:p>
            <w:pPr>
              <w:pStyle w:val="0"/>
              <w:jc w:val="center"/>
            </w:pPr>
            <w:r>
              <w:rPr>
                <w:sz w:val="24"/>
              </w:rPr>
              <w:t xml:space="preserve">Средняя</w:t>
            </w:r>
          </w:p>
        </w:tc>
        <w:tc>
          <w:tcPr>
            <w:tcW w:w="794" w:type="dxa"/>
          </w:tcPr>
          <w:p>
            <w:pPr>
              <w:pStyle w:val="0"/>
              <w:jc w:val="center"/>
            </w:pPr>
            <w:r>
              <w:rPr>
                <w:sz w:val="24"/>
              </w:rPr>
              <w:t xml:space="preserve">Макс.</w:t>
            </w:r>
          </w:p>
        </w:tc>
        <w:tc>
          <w:tcPr>
            <w:tcW w:w="680" w:type="dxa"/>
          </w:tcPr>
          <w:p>
            <w:pPr>
              <w:pStyle w:val="0"/>
              <w:jc w:val="center"/>
            </w:pPr>
            <w:r>
              <w:rPr>
                <w:sz w:val="24"/>
              </w:rPr>
              <w:t xml:space="preserve">Всего</w:t>
            </w:r>
          </w:p>
        </w:tc>
        <w:tc>
          <w:tcPr>
            <w:tcW w:w="1077" w:type="dxa"/>
          </w:tcPr>
          <w:p>
            <w:pPr>
              <w:pStyle w:val="0"/>
              <w:jc w:val="center"/>
            </w:pPr>
            <w:r>
              <w:rPr>
                <w:sz w:val="24"/>
              </w:rPr>
              <w:t xml:space="preserve">с превышением гигиенических нормативов</w:t>
            </w:r>
          </w:p>
        </w:tc>
        <w:tc>
          <w:tcPr>
            <w:tcW w:w="794" w:type="dxa"/>
          </w:tcPr>
          <w:p>
            <w:pPr>
              <w:pStyle w:val="0"/>
              <w:jc w:val="center"/>
            </w:pPr>
            <w:r>
              <w:rPr>
                <w:sz w:val="24"/>
              </w:rPr>
              <w:t xml:space="preserve">Средняя</w:t>
            </w:r>
          </w:p>
        </w:tc>
        <w:tc>
          <w:tcPr>
            <w:tcW w:w="794" w:type="dxa"/>
          </w:tcPr>
          <w:p>
            <w:pPr>
              <w:pStyle w:val="0"/>
              <w:jc w:val="center"/>
            </w:pPr>
            <w:r>
              <w:rPr>
                <w:sz w:val="24"/>
              </w:rPr>
              <w:t xml:space="preserve">Макс.</w:t>
            </w:r>
          </w:p>
        </w:tc>
      </w:tr>
      <w:tr>
        <w:tc>
          <w:tcPr>
            <w:tcW w:w="2324" w:type="dxa"/>
          </w:tcPr>
          <w:p>
            <w:pPr>
              <w:pStyle w:val="0"/>
            </w:pPr>
            <w:r>
              <w:rPr>
                <w:sz w:val="24"/>
              </w:rPr>
              <w:t xml:space="preserve">Молоко</w:t>
            </w:r>
          </w:p>
        </w:tc>
        <w:tc>
          <w:tcPr>
            <w:tcW w:w="716" w:type="dxa"/>
          </w:tcPr>
          <w:p>
            <w:pPr>
              <w:pStyle w:val="0"/>
            </w:pPr>
            <w:r>
              <w:rPr>
                <w:sz w:val="24"/>
              </w:rPr>
            </w:r>
          </w:p>
        </w:tc>
        <w:tc>
          <w:tcPr>
            <w:tcW w:w="1077" w:type="dxa"/>
          </w:tcPr>
          <w:p>
            <w:pPr>
              <w:pStyle w:val="0"/>
            </w:pPr>
            <w:r>
              <w:rPr>
                <w:sz w:val="24"/>
              </w:rPr>
            </w:r>
          </w:p>
        </w:tc>
        <w:tc>
          <w:tcPr>
            <w:tcW w:w="794" w:type="dxa"/>
          </w:tcPr>
          <w:p>
            <w:pPr>
              <w:pStyle w:val="0"/>
            </w:pPr>
            <w:r>
              <w:rPr>
                <w:sz w:val="24"/>
              </w:rPr>
            </w:r>
          </w:p>
        </w:tc>
        <w:tc>
          <w:tcPr>
            <w:tcW w:w="794" w:type="dxa"/>
          </w:tcPr>
          <w:p>
            <w:pPr>
              <w:pStyle w:val="0"/>
            </w:pPr>
            <w:r>
              <w:rPr>
                <w:sz w:val="24"/>
              </w:rPr>
            </w:r>
          </w:p>
        </w:tc>
        <w:tc>
          <w:tcPr>
            <w:tcW w:w="680" w:type="dxa"/>
          </w:tcPr>
          <w:p>
            <w:pPr>
              <w:pStyle w:val="0"/>
            </w:pPr>
            <w:r>
              <w:rPr>
                <w:sz w:val="24"/>
              </w:rPr>
            </w:r>
          </w:p>
        </w:tc>
        <w:tc>
          <w:tcPr>
            <w:tcW w:w="1077" w:type="dxa"/>
          </w:tcPr>
          <w:p>
            <w:pPr>
              <w:pStyle w:val="0"/>
            </w:pPr>
            <w:r>
              <w:rPr>
                <w:sz w:val="24"/>
              </w:rPr>
            </w:r>
          </w:p>
        </w:tc>
        <w:tc>
          <w:tcPr>
            <w:tcW w:w="794" w:type="dxa"/>
          </w:tcPr>
          <w:p>
            <w:pPr>
              <w:pStyle w:val="0"/>
            </w:pPr>
            <w:r>
              <w:rPr>
                <w:sz w:val="24"/>
              </w:rPr>
            </w:r>
          </w:p>
        </w:tc>
        <w:tc>
          <w:tcPr>
            <w:tcW w:w="794" w:type="dxa"/>
          </w:tcPr>
          <w:p>
            <w:pPr>
              <w:pStyle w:val="0"/>
            </w:pPr>
            <w:r>
              <w:rPr>
                <w:sz w:val="24"/>
              </w:rPr>
            </w:r>
          </w:p>
        </w:tc>
      </w:tr>
      <w:tr>
        <w:tc>
          <w:tcPr>
            <w:tcW w:w="2324" w:type="dxa"/>
          </w:tcPr>
          <w:p>
            <w:pPr>
              <w:pStyle w:val="0"/>
            </w:pPr>
            <w:r>
              <w:rPr>
                <w:sz w:val="24"/>
              </w:rPr>
              <w:t xml:space="preserve">Мясо</w:t>
            </w:r>
          </w:p>
        </w:tc>
        <w:tc>
          <w:tcPr>
            <w:tcW w:w="716" w:type="dxa"/>
          </w:tcPr>
          <w:p>
            <w:pPr>
              <w:pStyle w:val="0"/>
            </w:pPr>
            <w:r>
              <w:rPr>
                <w:sz w:val="24"/>
              </w:rPr>
            </w:r>
          </w:p>
        </w:tc>
        <w:tc>
          <w:tcPr>
            <w:tcW w:w="1077" w:type="dxa"/>
          </w:tcPr>
          <w:p>
            <w:pPr>
              <w:pStyle w:val="0"/>
            </w:pPr>
            <w:r>
              <w:rPr>
                <w:sz w:val="24"/>
              </w:rPr>
            </w:r>
          </w:p>
        </w:tc>
        <w:tc>
          <w:tcPr>
            <w:tcW w:w="794" w:type="dxa"/>
          </w:tcPr>
          <w:p>
            <w:pPr>
              <w:pStyle w:val="0"/>
            </w:pPr>
            <w:r>
              <w:rPr>
                <w:sz w:val="24"/>
              </w:rPr>
            </w:r>
          </w:p>
        </w:tc>
        <w:tc>
          <w:tcPr>
            <w:tcW w:w="794" w:type="dxa"/>
          </w:tcPr>
          <w:p>
            <w:pPr>
              <w:pStyle w:val="0"/>
            </w:pPr>
            <w:r>
              <w:rPr>
                <w:sz w:val="24"/>
              </w:rPr>
            </w:r>
          </w:p>
        </w:tc>
        <w:tc>
          <w:tcPr>
            <w:tcW w:w="680" w:type="dxa"/>
          </w:tcPr>
          <w:p>
            <w:pPr>
              <w:pStyle w:val="0"/>
            </w:pPr>
            <w:r>
              <w:rPr>
                <w:sz w:val="24"/>
              </w:rPr>
            </w:r>
          </w:p>
        </w:tc>
        <w:tc>
          <w:tcPr>
            <w:tcW w:w="1077" w:type="dxa"/>
          </w:tcPr>
          <w:p>
            <w:pPr>
              <w:pStyle w:val="0"/>
            </w:pPr>
            <w:r>
              <w:rPr>
                <w:sz w:val="24"/>
              </w:rPr>
            </w:r>
          </w:p>
        </w:tc>
        <w:tc>
          <w:tcPr>
            <w:tcW w:w="794" w:type="dxa"/>
          </w:tcPr>
          <w:p>
            <w:pPr>
              <w:pStyle w:val="0"/>
            </w:pPr>
            <w:r>
              <w:rPr>
                <w:sz w:val="24"/>
              </w:rPr>
            </w:r>
          </w:p>
        </w:tc>
        <w:tc>
          <w:tcPr>
            <w:tcW w:w="794" w:type="dxa"/>
          </w:tcPr>
          <w:p>
            <w:pPr>
              <w:pStyle w:val="0"/>
            </w:pPr>
            <w:r>
              <w:rPr>
                <w:sz w:val="24"/>
              </w:rPr>
            </w:r>
          </w:p>
        </w:tc>
      </w:tr>
      <w:tr>
        <w:tc>
          <w:tcPr>
            <w:tcW w:w="2324" w:type="dxa"/>
          </w:tcPr>
          <w:p>
            <w:pPr>
              <w:pStyle w:val="0"/>
            </w:pPr>
            <w:r>
              <w:rPr>
                <w:sz w:val="24"/>
              </w:rPr>
              <w:t xml:space="preserve">Рыба</w:t>
            </w:r>
          </w:p>
        </w:tc>
        <w:tc>
          <w:tcPr>
            <w:tcW w:w="716" w:type="dxa"/>
          </w:tcPr>
          <w:p>
            <w:pPr>
              <w:pStyle w:val="0"/>
            </w:pPr>
            <w:r>
              <w:rPr>
                <w:sz w:val="24"/>
              </w:rPr>
            </w:r>
          </w:p>
        </w:tc>
        <w:tc>
          <w:tcPr>
            <w:tcW w:w="1077" w:type="dxa"/>
          </w:tcPr>
          <w:p>
            <w:pPr>
              <w:pStyle w:val="0"/>
            </w:pPr>
            <w:r>
              <w:rPr>
                <w:sz w:val="24"/>
              </w:rPr>
            </w:r>
          </w:p>
        </w:tc>
        <w:tc>
          <w:tcPr>
            <w:tcW w:w="794" w:type="dxa"/>
          </w:tcPr>
          <w:p>
            <w:pPr>
              <w:pStyle w:val="0"/>
            </w:pPr>
            <w:r>
              <w:rPr>
                <w:sz w:val="24"/>
              </w:rPr>
            </w:r>
          </w:p>
        </w:tc>
        <w:tc>
          <w:tcPr>
            <w:tcW w:w="794" w:type="dxa"/>
          </w:tcPr>
          <w:p>
            <w:pPr>
              <w:pStyle w:val="0"/>
            </w:pPr>
            <w:r>
              <w:rPr>
                <w:sz w:val="24"/>
              </w:rPr>
            </w:r>
          </w:p>
        </w:tc>
        <w:tc>
          <w:tcPr>
            <w:tcW w:w="680" w:type="dxa"/>
          </w:tcPr>
          <w:p>
            <w:pPr>
              <w:pStyle w:val="0"/>
            </w:pPr>
            <w:r>
              <w:rPr>
                <w:sz w:val="24"/>
              </w:rPr>
            </w:r>
          </w:p>
        </w:tc>
        <w:tc>
          <w:tcPr>
            <w:tcW w:w="1077" w:type="dxa"/>
          </w:tcPr>
          <w:p>
            <w:pPr>
              <w:pStyle w:val="0"/>
            </w:pPr>
            <w:r>
              <w:rPr>
                <w:sz w:val="24"/>
              </w:rPr>
            </w:r>
          </w:p>
        </w:tc>
        <w:tc>
          <w:tcPr>
            <w:tcW w:w="794" w:type="dxa"/>
          </w:tcPr>
          <w:p>
            <w:pPr>
              <w:pStyle w:val="0"/>
            </w:pPr>
            <w:r>
              <w:rPr>
                <w:sz w:val="24"/>
              </w:rPr>
            </w:r>
          </w:p>
        </w:tc>
        <w:tc>
          <w:tcPr>
            <w:tcW w:w="794" w:type="dxa"/>
          </w:tcPr>
          <w:p>
            <w:pPr>
              <w:pStyle w:val="0"/>
            </w:pPr>
            <w:r>
              <w:rPr>
                <w:sz w:val="24"/>
              </w:rPr>
            </w:r>
          </w:p>
        </w:tc>
      </w:tr>
      <w:tr>
        <w:tc>
          <w:tcPr>
            <w:tcW w:w="2324" w:type="dxa"/>
          </w:tcPr>
          <w:p>
            <w:pPr>
              <w:pStyle w:val="0"/>
            </w:pPr>
            <w:r>
              <w:rPr>
                <w:sz w:val="24"/>
              </w:rPr>
              <w:t xml:space="preserve">Хлеб и хлебопродукты</w:t>
            </w:r>
          </w:p>
        </w:tc>
        <w:tc>
          <w:tcPr>
            <w:tcW w:w="716" w:type="dxa"/>
          </w:tcPr>
          <w:p>
            <w:pPr>
              <w:pStyle w:val="0"/>
            </w:pPr>
            <w:r>
              <w:rPr>
                <w:sz w:val="24"/>
              </w:rPr>
            </w:r>
          </w:p>
        </w:tc>
        <w:tc>
          <w:tcPr>
            <w:tcW w:w="1077" w:type="dxa"/>
          </w:tcPr>
          <w:p>
            <w:pPr>
              <w:pStyle w:val="0"/>
            </w:pPr>
            <w:r>
              <w:rPr>
                <w:sz w:val="24"/>
              </w:rPr>
            </w:r>
          </w:p>
        </w:tc>
        <w:tc>
          <w:tcPr>
            <w:tcW w:w="794" w:type="dxa"/>
          </w:tcPr>
          <w:p>
            <w:pPr>
              <w:pStyle w:val="0"/>
            </w:pPr>
            <w:r>
              <w:rPr>
                <w:sz w:val="24"/>
              </w:rPr>
            </w:r>
          </w:p>
        </w:tc>
        <w:tc>
          <w:tcPr>
            <w:tcW w:w="794" w:type="dxa"/>
          </w:tcPr>
          <w:p>
            <w:pPr>
              <w:pStyle w:val="0"/>
            </w:pPr>
            <w:r>
              <w:rPr>
                <w:sz w:val="24"/>
              </w:rPr>
            </w:r>
          </w:p>
        </w:tc>
        <w:tc>
          <w:tcPr>
            <w:tcW w:w="680" w:type="dxa"/>
          </w:tcPr>
          <w:p>
            <w:pPr>
              <w:pStyle w:val="0"/>
            </w:pPr>
            <w:r>
              <w:rPr>
                <w:sz w:val="24"/>
              </w:rPr>
            </w:r>
          </w:p>
        </w:tc>
        <w:tc>
          <w:tcPr>
            <w:tcW w:w="1077" w:type="dxa"/>
          </w:tcPr>
          <w:p>
            <w:pPr>
              <w:pStyle w:val="0"/>
            </w:pPr>
            <w:r>
              <w:rPr>
                <w:sz w:val="24"/>
              </w:rPr>
            </w:r>
          </w:p>
        </w:tc>
        <w:tc>
          <w:tcPr>
            <w:tcW w:w="794" w:type="dxa"/>
          </w:tcPr>
          <w:p>
            <w:pPr>
              <w:pStyle w:val="0"/>
            </w:pPr>
            <w:r>
              <w:rPr>
                <w:sz w:val="24"/>
              </w:rPr>
            </w:r>
          </w:p>
        </w:tc>
        <w:tc>
          <w:tcPr>
            <w:tcW w:w="794" w:type="dxa"/>
          </w:tcPr>
          <w:p>
            <w:pPr>
              <w:pStyle w:val="0"/>
            </w:pPr>
            <w:r>
              <w:rPr>
                <w:sz w:val="24"/>
              </w:rPr>
            </w:r>
          </w:p>
        </w:tc>
      </w:tr>
      <w:tr>
        <w:tc>
          <w:tcPr>
            <w:tcW w:w="2324" w:type="dxa"/>
          </w:tcPr>
          <w:p>
            <w:pPr>
              <w:pStyle w:val="0"/>
            </w:pPr>
            <w:r>
              <w:rPr>
                <w:sz w:val="24"/>
              </w:rPr>
              <w:t xml:space="preserve">Картофель</w:t>
            </w:r>
          </w:p>
        </w:tc>
        <w:tc>
          <w:tcPr>
            <w:tcW w:w="716" w:type="dxa"/>
          </w:tcPr>
          <w:p>
            <w:pPr>
              <w:pStyle w:val="0"/>
            </w:pPr>
            <w:r>
              <w:rPr>
                <w:sz w:val="24"/>
              </w:rPr>
            </w:r>
          </w:p>
        </w:tc>
        <w:tc>
          <w:tcPr>
            <w:tcW w:w="1077" w:type="dxa"/>
          </w:tcPr>
          <w:p>
            <w:pPr>
              <w:pStyle w:val="0"/>
            </w:pPr>
            <w:r>
              <w:rPr>
                <w:sz w:val="24"/>
              </w:rPr>
            </w:r>
          </w:p>
        </w:tc>
        <w:tc>
          <w:tcPr>
            <w:tcW w:w="794" w:type="dxa"/>
          </w:tcPr>
          <w:p>
            <w:pPr>
              <w:pStyle w:val="0"/>
            </w:pPr>
            <w:r>
              <w:rPr>
                <w:sz w:val="24"/>
              </w:rPr>
            </w:r>
          </w:p>
        </w:tc>
        <w:tc>
          <w:tcPr>
            <w:tcW w:w="794" w:type="dxa"/>
          </w:tcPr>
          <w:p>
            <w:pPr>
              <w:pStyle w:val="0"/>
            </w:pPr>
            <w:r>
              <w:rPr>
                <w:sz w:val="24"/>
              </w:rPr>
            </w:r>
          </w:p>
        </w:tc>
        <w:tc>
          <w:tcPr>
            <w:tcW w:w="680" w:type="dxa"/>
          </w:tcPr>
          <w:p>
            <w:pPr>
              <w:pStyle w:val="0"/>
            </w:pPr>
            <w:r>
              <w:rPr>
                <w:sz w:val="24"/>
              </w:rPr>
            </w:r>
          </w:p>
        </w:tc>
        <w:tc>
          <w:tcPr>
            <w:tcW w:w="1077" w:type="dxa"/>
          </w:tcPr>
          <w:p>
            <w:pPr>
              <w:pStyle w:val="0"/>
            </w:pPr>
            <w:r>
              <w:rPr>
                <w:sz w:val="24"/>
              </w:rPr>
            </w:r>
          </w:p>
        </w:tc>
        <w:tc>
          <w:tcPr>
            <w:tcW w:w="794" w:type="dxa"/>
          </w:tcPr>
          <w:p>
            <w:pPr>
              <w:pStyle w:val="0"/>
            </w:pPr>
            <w:r>
              <w:rPr>
                <w:sz w:val="24"/>
              </w:rPr>
            </w:r>
          </w:p>
        </w:tc>
        <w:tc>
          <w:tcPr>
            <w:tcW w:w="794" w:type="dxa"/>
          </w:tcPr>
          <w:p>
            <w:pPr>
              <w:pStyle w:val="0"/>
            </w:pPr>
            <w:r>
              <w:rPr>
                <w:sz w:val="24"/>
              </w:rPr>
            </w:r>
          </w:p>
        </w:tc>
      </w:tr>
      <w:tr>
        <w:tc>
          <w:tcPr>
            <w:tcW w:w="2324" w:type="dxa"/>
          </w:tcPr>
          <w:p>
            <w:pPr>
              <w:pStyle w:val="0"/>
            </w:pPr>
            <w:r>
              <w:rPr>
                <w:sz w:val="24"/>
              </w:rPr>
              <w:t xml:space="preserve">Грибы лесные</w:t>
            </w:r>
          </w:p>
        </w:tc>
        <w:tc>
          <w:tcPr>
            <w:tcW w:w="716" w:type="dxa"/>
          </w:tcPr>
          <w:p>
            <w:pPr>
              <w:pStyle w:val="0"/>
            </w:pPr>
            <w:r>
              <w:rPr>
                <w:sz w:val="24"/>
              </w:rPr>
            </w:r>
          </w:p>
        </w:tc>
        <w:tc>
          <w:tcPr>
            <w:tcW w:w="1077" w:type="dxa"/>
          </w:tcPr>
          <w:p>
            <w:pPr>
              <w:pStyle w:val="0"/>
            </w:pPr>
            <w:r>
              <w:rPr>
                <w:sz w:val="24"/>
              </w:rPr>
            </w:r>
          </w:p>
        </w:tc>
        <w:tc>
          <w:tcPr>
            <w:tcW w:w="794" w:type="dxa"/>
          </w:tcPr>
          <w:p>
            <w:pPr>
              <w:pStyle w:val="0"/>
            </w:pPr>
            <w:r>
              <w:rPr>
                <w:sz w:val="24"/>
              </w:rPr>
            </w:r>
          </w:p>
        </w:tc>
        <w:tc>
          <w:tcPr>
            <w:tcW w:w="794" w:type="dxa"/>
          </w:tcPr>
          <w:p>
            <w:pPr>
              <w:pStyle w:val="0"/>
            </w:pPr>
            <w:r>
              <w:rPr>
                <w:sz w:val="24"/>
              </w:rPr>
            </w:r>
          </w:p>
        </w:tc>
        <w:tc>
          <w:tcPr>
            <w:tcW w:w="680" w:type="dxa"/>
          </w:tcPr>
          <w:p>
            <w:pPr>
              <w:pStyle w:val="0"/>
            </w:pPr>
            <w:r>
              <w:rPr>
                <w:sz w:val="24"/>
              </w:rPr>
            </w:r>
          </w:p>
        </w:tc>
        <w:tc>
          <w:tcPr>
            <w:tcW w:w="1077" w:type="dxa"/>
          </w:tcPr>
          <w:p>
            <w:pPr>
              <w:pStyle w:val="0"/>
            </w:pPr>
            <w:r>
              <w:rPr>
                <w:sz w:val="24"/>
              </w:rPr>
            </w:r>
          </w:p>
        </w:tc>
        <w:tc>
          <w:tcPr>
            <w:tcW w:w="794" w:type="dxa"/>
          </w:tcPr>
          <w:p>
            <w:pPr>
              <w:pStyle w:val="0"/>
            </w:pPr>
            <w:r>
              <w:rPr>
                <w:sz w:val="24"/>
              </w:rPr>
            </w:r>
          </w:p>
        </w:tc>
        <w:tc>
          <w:tcPr>
            <w:tcW w:w="794" w:type="dxa"/>
          </w:tcPr>
          <w:p>
            <w:pPr>
              <w:pStyle w:val="0"/>
            </w:pPr>
            <w:r>
              <w:rPr>
                <w:sz w:val="24"/>
              </w:rPr>
            </w:r>
          </w:p>
        </w:tc>
      </w:tr>
      <w:tr>
        <w:tc>
          <w:tcPr>
            <w:tcW w:w="2324" w:type="dxa"/>
          </w:tcPr>
          <w:p>
            <w:pPr>
              <w:pStyle w:val="0"/>
            </w:pPr>
            <w:r>
              <w:rPr>
                <w:sz w:val="24"/>
              </w:rPr>
              <w:t xml:space="preserve">Ягоды лесные</w:t>
            </w:r>
          </w:p>
        </w:tc>
        <w:tc>
          <w:tcPr>
            <w:tcW w:w="716" w:type="dxa"/>
          </w:tcPr>
          <w:p>
            <w:pPr>
              <w:pStyle w:val="0"/>
            </w:pPr>
            <w:r>
              <w:rPr>
                <w:sz w:val="24"/>
              </w:rPr>
            </w:r>
          </w:p>
        </w:tc>
        <w:tc>
          <w:tcPr>
            <w:tcW w:w="1077" w:type="dxa"/>
          </w:tcPr>
          <w:p>
            <w:pPr>
              <w:pStyle w:val="0"/>
            </w:pPr>
            <w:r>
              <w:rPr>
                <w:sz w:val="24"/>
              </w:rPr>
            </w:r>
          </w:p>
        </w:tc>
        <w:tc>
          <w:tcPr>
            <w:tcW w:w="794" w:type="dxa"/>
          </w:tcPr>
          <w:p>
            <w:pPr>
              <w:pStyle w:val="0"/>
            </w:pPr>
            <w:r>
              <w:rPr>
                <w:sz w:val="24"/>
              </w:rPr>
            </w:r>
          </w:p>
        </w:tc>
        <w:tc>
          <w:tcPr>
            <w:tcW w:w="794" w:type="dxa"/>
          </w:tcPr>
          <w:p>
            <w:pPr>
              <w:pStyle w:val="0"/>
            </w:pPr>
            <w:r>
              <w:rPr>
                <w:sz w:val="24"/>
              </w:rPr>
            </w:r>
          </w:p>
        </w:tc>
        <w:tc>
          <w:tcPr>
            <w:tcW w:w="680" w:type="dxa"/>
          </w:tcPr>
          <w:p>
            <w:pPr>
              <w:pStyle w:val="0"/>
            </w:pPr>
            <w:r>
              <w:rPr>
                <w:sz w:val="24"/>
              </w:rPr>
            </w:r>
          </w:p>
        </w:tc>
        <w:tc>
          <w:tcPr>
            <w:tcW w:w="1077" w:type="dxa"/>
          </w:tcPr>
          <w:p>
            <w:pPr>
              <w:pStyle w:val="0"/>
            </w:pPr>
            <w:r>
              <w:rPr>
                <w:sz w:val="24"/>
              </w:rPr>
            </w:r>
          </w:p>
        </w:tc>
        <w:tc>
          <w:tcPr>
            <w:tcW w:w="794" w:type="dxa"/>
          </w:tcPr>
          <w:p>
            <w:pPr>
              <w:pStyle w:val="0"/>
            </w:pPr>
            <w:r>
              <w:rPr>
                <w:sz w:val="24"/>
              </w:rPr>
            </w:r>
          </w:p>
        </w:tc>
        <w:tc>
          <w:tcPr>
            <w:tcW w:w="794" w:type="dxa"/>
          </w:tcPr>
          <w:p>
            <w:pPr>
              <w:pStyle w:val="0"/>
            </w:pPr>
            <w:r>
              <w:rPr>
                <w:sz w:val="24"/>
              </w:rPr>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9071"/>
      </w:tblGrid>
      <w:tr>
        <w:tc>
          <w:tcPr>
            <w:tcW w:w="9071" w:type="dxa"/>
            <w:tcBorders>
              <w:top w:val="nil"/>
              <w:left w:val="nil"/>
              <w:bottom w:val="nil"/>
              <w:right w:val="nil"/>
            </w:tcBorders>
          </w:tcPr>
          <w:p>
            <w:pPr>
              <w:pStyle w:val="0"/>
              <w:outlineLvl w:val="2"/>
              <w:jc w:val="both"/>
            </w:pPr>
            <w:r>
              <w:rPr>
                <w:sz w:val="24"/>
              </w:rPr>
              <w:t xml:space="preserve">3.6. Удельная эффективная активность радиоактивных веществ в строительных материалах</w:t>
            </w:r>
          </w:p>
        </w:tc>
      </w:tr>
    </w:tbl>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4706"/>
        <w:gridCol w:w="1077"/>
        <w:gridCol w:w="907"/>
        <w:gridCol w:w="826"/>
        <w:gridCol w:w="826"/>
        <w:gridCol w:w="716"/>
      </w:tblGrid>
      <w:tr>
        <w:tc>
          <w:tcPr>
            <w:tcW w:w="4706" w:type="dxa"/>
          </w:tcPr>
          <w:bookmarkStart w:id="1734" w:name="P1734"/>
          <w:bookmarkEnd w:id="1734"/>
          <w:p>
            <w:pPr>
              <w:pStyle w:val="0"/>
              <w:jc w:val="center"/>
            </w:pPr>
            <w:r>
              <w:rPr>
                <w:sz w:val="24"/>
              </w:rPr>
              <w:t xml:space="preserve">Характеристика</w:t>
            </w:r>
          </w:p>
        </w:tc>
        <w:tc>
          <w:tcPr>
            <w:tcW w:w="1077" w:type="dxa"/>
          </w:tcPr>
          <w:p>
            <w:pPr>
              <w:pStyle w:val="0"/>
              <w:jc w:val="center"/>
            </w:pPr>
            <w:r>
              <w:rPr>
                <w:sz w:val="24"/>
              </w:rPr>
              <w:t xml:space="preserve">Единица измерения</w:t>
            </w:r>
          </w:p>
        </w:tc>
        <w:tc>
          <w:tcPr>
            <w:tcW w:w="907" w:type="dxa"/>
          </w:tcPr>
          <w:p>
            <w:pPr>
              <w:pStyle w:val="0"/>
              <w:jc w:val="center"/>
            </w:pPr>
            <w:r>
              <w:rPr>
                <w:sz w:val="24"/>
              </w:rPr>
              <w:t xml:space="preserve">Число измерений</w:t>
            </w:r>
          </w:p>
        </w:tc>
        <w:tc>
          <w:tcPr>
            <w:tcW w:w="826" w:type="dxa"/>
          </w:tcPr>
          <w:p>
            <w:pPr>
              <w:pStyle w:val="0"/>
              <w:jc w:val="center"/>
            </w:pPr>
            <w:r>
              <w:rPr>
                <w:sz w:val="24"/>
              </w:rPr>
              <w:t xml:space="preserve">Среднее за год</w:t>
            </w:r>
          </w:p>
        </w:tc>
        <w:tc>
          <w:tcPr>
            <w:tcW w:w="826" w:type="dxa"/>
          </w:tcPr>
          <w:p>
            <w:pPr>
              <w:pStyle w:val="0"/>
              <w:jc w:val="center"/>
            </w:pPr>
            <w:r>
              <w:rPr>
                <w:sz w:val="24"/>
              </w:rPr>
              <w:t xml:space="preserve">Максимум</w:t>
            </w:r>
          </w:p>
        </w:tc>
        <w:tc>
          <w:tcPr>
            <w:tcW w:w="716" w:type="dxa"/>
          </w:tcPr>
          <w:p>
            <w:pPr>
              <w:pStyle w:val="0"/>
              <w:jc w:val="center"/>
            </w:pPr>
            <w:r>
              <w:rPr>
                <w:sz w:val="24"/>
              </w:rPr>
              <w:t xml:space="preserve">Превышения</w:t>
            </w:r>
          </w:p>
        </w:tc>
      </w:tr>
      <w:tr>
        <w:tc>
          <w:tcPr>
            <w:tcW w:w="4706" w:type="dxa"/>
          </w:tcPr>
          <w:p>
            <w:pPr>
              <w:pStyle w:val="0"/>
            </w:pPr>
            <w:r>
              <w:rPr>
                <w:sz w:val="24"/>
              </w:rPr>
              <w:t xml:space="preserve">Удельная эффективная активность природных радионуклидов в строительных материалах</w:t>
            </w:r>
          </w:p>
        </w:tc>
        <w:tc>
          <w:tcPr>
            <w:tcW w:w="1077" w:type="dxa"/>
          </w:tcPr>
          <w:p>
            <w:pPr>
              <w:pStyle w:val="0"/>
              <w:jc w:val="center"/>
            </w:pPr>
            <w:r>
              <w:rPr>
                <w:sz w:val="24"/>
              </w:rPr>
              <w:t xml:space="preserve">Бк/кг</w:t>
            </w:r>
          </w:p>
        </w:tc>
        <w:tc>
          <w:tcPr>
            <w:tcW w:w="907" w:type="dxa"/>
          </w:tcPr>
          <w:p>
            <w:pPr>
              <w:pStyle w:val="0"/>
            </w:pPr>
            <w:r>
              <w:rPr>
                <w:sz w:val="24"/>
              </w:rPr>
            </w:r>
          </w:p>
        </w:tc>
        <w:tc>
          <w:tcPr>
            <w:tcW w:w="826" w:type="dxa"/>
          </w:tcPr>
          <w:p>
            <w:pPr>
              <w:pStyle w:val="0"/>
            </w:pPr>
            <w:r>
              <w:rPr>
                <w:sz w:val="24"/>
              </w:rPr>
            </w:r>
          </w:p>
        </w:tc>
        <w:tc>
          <w:tcPr>
            <w:tcW w:w="826" w:type="dxa"/>
          </w:tcPr>
          <w:p>
            <w:pPr>
              <w:pStyle w:val="0"/>
            </w:pPr>
            <w:r>
              <w:rPr>
                <w:sz w:val="24"/>
              </w:rPr>
            </w:r>
          </w:p>
        </w:tc>
        <w:tc>
          <w:tcPr>
            <w:tcW w:w="716" w:type="dxa"/>
          </w:tcPr>
          <w:p>
            <w:pPr>
              <w:pStyle w:val="0"/>
              <w:jc w:val="center"/>
            </w:pPr>
            <w:hyperlink w:history="0" w:anchor="P1802" w:tooltip="&lt;*&gt; число проб, с удельной эффективной активностью природных радионуклидов больше 370 Бк/кг">
              <w:r>
                <w:rPr>
                  <w:sz w:val="24"/>
                  <w:color w:val="0000ff"/>
                </w:rPr>
                <w:t xml:space="preserve">&lt;*&gt;</w:t>
              </w:r>
            </w:hyperlink>
          </w:p>
        </w:tc>
      </w:tr>
      <w:tr>
        <w:tc>
          <w:tcPr>
            <w:tcW w:w="4706" w:type="dxa"/>
            <w:tcBorders>
              <w:bottom w:val="nil"/>
            </w:tcBorders>
          </w:tcPr>
          <w:p>
            <w:pPr>
              <w:pStyle w:val="0"/>
            </w:pPr>
            <w:r>
              <w:rPr>
                <w:sz w:val="24"/>
              </w:rPr>
              <w:t xml:space="preserve">ЭРОА изотопов радона в воздухе помещений, в том числе:</w:t>
            </w:r>
          </w:p>
        </w:tc>
        <w:tc>
          <w:tcPr>
            <w:tcW w:w="1077" w:type="dxa"/>
          </w:tcPr>
          <w:p>
            <w:pPr>
              <w:pStyle w:val="0"/>
              <w:jc w:val="center"/>
            </w:pPr>
            <w:r>
              <w:rPr>
                <w:sz w:val="24"/>
              </w:rPr>
              <w:t xml:space="preserve">Бк/м</w:t>
            </w:r>
            <w:r>
              <w:rPr>
                <w:sz w:val="24"/>
                <w:vertAlign w:val="superscript"/>
              </w:rPr>
              <w:t xml:space="preserve">3</w:t>
            </w:r>
          </w:p>
        </w:tc>
        <w:tc>
          <w:tcPr>
            <w:tcW w:w="907" w:type="dxa"/>
          </w:tcPr>
          <w:p>
            <w:pPr>
              <w:pStyle w:val="0"/>
            </w:pPr>
            <w:r>
              <w:rPr>
                <w:sz w:val="24"/>
              </w:rPr>
            </w:r>
          </w:p>
        </w:tc>
        <w:tc>
          <w:tcPr>
            <w:tcW w:w="826" w:type="dxa"/>
          </w:tcPr>
          <w:p>
            <w:pPr>
              <w:pStyle w:val="0"/>
            </w:pPr>
            <w:r>
              <w:rPr>
                <w:sz w:val="24"/>
              </w:rPr>
            </w:r>
          </w:p>
        </w:tc>
        <w:tc>
          <w:tcPr>
            <w:tcW w:w="826" w:type="dxa"/>
          </w:tcPr>
          <w:p>
            <w:pPr>
              <w:pStyle w:val="0"/>
            </w:pPr>
            <w:r>
              <w:rPr>
                <w:sz w:val="24"/>
              </w:rPr>
            </w:r>
          </w:p>
        </w:tc>
        <w:tc>
          <w:tcPr>
            <w:tcW w:w="716" w:type="dxa"/>
          </w:tcPr>
          <w:p>
            <w:pPr>
              <w:pStyle w:val="0"/>
            </w:pPr>
            <w:r>
              <w:rPr>
                <w:sz w:val="24"/>
              </w:rPr>
            </w:r>
          </w:p>
        </w:tc>
      </w:tr>
      <w:tr>
        <w:tc>
          <w:tcPr>
            <w:tcW w:w="4706" w:type="dxa"/>
            <w:tcBorders>
              <w:top w:val="nil"/>
              <w:bottom w:val="nil"/>
            </w:tcBorders>
          </w:tcPr>
          <w:p>
            <w:pPr>
              <w:pStyle w:val="0"/>
            </w:pPr>
            <w:r>
              <w:rPr>
                <w:sz w:val="24"/>
              </w:rPr>
              <w:t xml:space="preserve">- одноэтажных деревянных домов,</w:t>
            </w:r>
          </w:p>
        </w:tc>
        <w:tc>
          <w:tcPr>
            <w:tcW w:w="1077" w:type="dxa"/>
          </w:tcPr>
          <w:p>
            <w:pPr>
              <w:pStyle w:val="0"/>
              <w:jc w:val="center"/>
            </w:pPr>
            <w:r>
              <w:rPr>
                <w:sz w:val="24"/>
              </w:rPr>
              <w:t xml:space="preserve">Бк/м</w:t>
            </w:r>
            <w:r>
              <w:rPr>
                <w:sz w:val="24"/>
                <w:vertAlign w:val="superscript"/>
              </w:rPr>
              <w:t xml:space="preserve">3</w:t>
            </w:r>
          </w:p>
        </w:tc>
        <w:tc>
          <w:tcPr>
            <w:tcW w:w="907" w:type="dxa"/>
          </w:tcPr>
          <w:p>
            <w:pPr>
              <w:pStyle w:val="0"/>
            </w:pPr>
            <w:r>
              <w:rPr>
                <w:sz w:val="24"/>
              </w:rPr>
            </w:r>
          </w:p>
        </w:tc>
        <w:tc>
          <w:tcPr>
            <w:tcW w:w="826" w:type="dxa"/>
          </w:tcPr>
          <w:p>
            <w:pPr>
              <w:pStyle w:val="0"/>
            </w:pPr>
            <w:r>
              <w:rPr>
                <w:sz w:val="24"/>
              </w:rPr>
            </w:r>
          </w:p>
        </w:tc>
        <w:tc>
          <w:tcPr>
            <w:tcW w:w="826" w:type="dxa"/>
          </w:tcPr>
          <w:p>
            <w:pPr>
              <w:pStyle w:val="0"/>
            </w:pPr>
            <w:r>
              <w:rPr>
                <w:sz w:val="24"/>
              </w:rPr>
            </w:r>
          </w:p>
        </w:tc>
        <w:tc>
          <w:tcPr>
            <w:tcW w:w="716" w:type="dxa"/>
          </w:tcPr>
          <w:p>
            <w:pPr>
              <w:pStyle w:val="0"/>
              <w:jc w:val="center"/>
            </w:pPr>
            <w:hyperlink w:history="0" w:anchor="P1803" w:tooltip="&lt;**&gt; число измерений, результаты которых превышают 200 Бк/м3">
              <w:r>
                <w:rPr>
                  <w:sz w:val="24"/>
                  <w:color w:val="0000ff"/>
                </w:rPr>
                <w:t xml:space="preserve">&lt;**&gt;</w:t>
              </w:r>
            </w:hyperlink>
          </w:p>
        </w:tc>
      </w:tr>
      <w:tr>
        <w:tc>
          <w:tcPr>
            <w:tcW w:w="4706" w:type="dxa"/>
            <w:tcBorders>
              <w:top w:val="nil"/>
              <w:bottom w:val="nil"/>
            </w:tcBorders>
          </w:tcPr>
          <w:p>
            <w:pPr>
              <w:pStyle w:val="0"/>
            </w:pPr>
            <w:r>
              <w:rPr>
                <w:sz w:val="24"/>
              </w:rPr>
              <w:t xml:space="preserve">- одноэтажных каменных домов,</w:t>
            </w:r>
          </w:p>
        </w:tc>
        <w:tc>
          <w:tcPr>
            <w:tcW w:w="1077" w:type="dxa"/>
          </w:tcPr>
          <w:p>
            <w:pPr>
              <w:pStyle w:val="0"/>
              <w:jc w:val="center"/>
            </w:pPr>
            <w:r>
              <w:rPr>
                <w:sz w:val="24"/>
              </w:rPr>
              <w:t xml:space="preserve">Бк/м</w:t>
            </w:r>
            <w:r>
              <w:rPr>
                <w:sz w:val="24"/>
                <w:vertAlign w:val="superscript"/>
              </w:rPr>
              <w:t xml:space="preserve">3</w:t>
            </w:r>
          </w:p>
        </w:tc>
        <w:tc>
          <w:tcPr>
            <w:tcW w:w="907" w:type="dxa"/>
          </w:tcPr>
          <w:p>
            <w:pPr>
              <w:pStyle w:val="0"/>
            </w:pPr>
            <w:r>
              <w:rPr>
                <w:sz w:val="24"/>
              </w:rPr>
            </w:r>
          </w:p>
        </w:tc>
        <w:tc>
          <w:tcPr>
            <w:tcW w:w="826" w:type="dxa"/>
          </w:tcPr>
          <w:p>
            <w:pPr>
              <w:pStyle w:val="0"/>
            </w:pPr>
            <w:r>
              <w:rPr>
                <w:sz w:val="24"/>
              </w:rPr>
            </w:r>
          </w:p>
        </w:tc>
        <w:tc>
          <w:tcPr>
            <w:tcW w:w="826" w:type="dxa"/>
          </w:tcPr>
          <w:p>
            <w:pPr>
              <w:pStyle w:val="0"/>
            </w:pPr>
            <w:r>
              <w:rPr>
                <w:sz w:val="24"/>
              </w:rPr>
            </w:r>
          </w:p>
        </w:tc>
        <w:tc>
          <w:tcPr>
            <w:tcW w:w="716" w:type="dxa"/>
          </w:tcPr>
          <w:p>
            <w:pPr>
              <w:pStyle w:val="0"/>
              <w:jc w:val="center"/>
            </w:pPr>
            <w:hyperlink w:history="0" w:anchor="P1803" w:tooltip="&lt;**&gt; число измерений, результаты которых превышают 200 Бк/м3">
              <w:r>
                <w:rPr>
                  <w:sz w:val="24"/>
                  <w:color w:val="0000ff"/>
                </w:rPr>
                <w:t xml:space="preserve">&lt;**&gt;</w:t>
              </w:r>
            </w:hyperlink>
          </w:p>
        </w:tc>
      </w:tr>
      <w:tr>
        <w:tc>
          <w:tcPr>
            <w:tcW w:w="4706" w:type="dxa"/>
            <w:tcBorders>
              <w:top w:val="nil"/>
            </w:tcBorders>
          </w:tcPr>
          <w:p>
            <w:pPr>
              <w:pStyle w:val="0"/>
            </w:pPr>
            <w:r>
              <w:rPr>
                <w:sz w:val="24"/>
              </w:rPr>
              <w:t xml:space="preserve">- многоэтажных каменных домов.</w:t>
            </w:r>
          </w:p>
        </w:tc>
        <w:tc>
          <w:tcPr>
            <w:tcW w:w="1077" w:type="dxa"/>
          </w:tcPr>
          <w:p>
            <w:pPr>
              <w:pStyle w:val="0"/>
              <w:jc w:val="center"/>
            </w:pPr>
            <w:r>
              <w:rPr>
                <w:sz w:val="24"/>
              </w:rPr>
              <w:t xml:space="preserve">Бк/м</w:t>
            </w:r>
            <w:r>
              <w:rPr>
                <w:sz w:val="24"/>
                <w:vertAlign w:val="superscript"/>
              </w:rPr>
              <w:t xml:space="preserve">3</w:t>
            </w:r>
          </w:p>
        </w:tc>
        <w:tc>
          <w:tcPr>
            <w:tcW w:w="907" w:type="dxa"/>
          </w:tcPr>
          <w:p>
            <w:pPr>
              <w:pStyle w:val="0"/>
            </w:pPr>
            <w:r>
              <w:rPr>
                <w:sz w:val="24"/>
              </w:rPr>
            </w:r>
          </w:p>
        </w:tc>
        <w:tc>
          <w:tcPr>
            <w:tcW w:w="826" w:type="dxa"/>
          </w:tcPr>
          <w:p>
            <w:pPr>
              <w:pStyle w:val="0"/>
            </w:pPr>
            <w:r>
              <w:rPr>
                <w:sz w:val="24"/>
              </w:rPr>
            </w:r>
          </w:p>
        </w:tc>
        <w:tc>
          <w:tcPr>
            <w:tcW w:w="826" w:type="dxa"/>
          </w:tcPr>
          <w:p>
            <w:pPr>
              <w:pStyle w:val="0"/>
            </w:pPr>
            <w:r>
              <w:rPr>
                <w:sz w:val="24"/>
              </w:rPr>
            </w:r>
          </w:p>
        </w:tc>
        <w:tc>
          <w:tcPr>
            <w:tcW w:w="716" w:type="dxa"/>
          </w:tcPr>
          <w:p>
            <w:pPr>
              <w:pStyle w:val="0"/>
              <w:jc w:val="center"/>
            </w:pPr>
            <w:hyperlink w:history="0" w:anchor="P1803" w:tooltip="&lt;**&gt; число измерений, результаты которых превышают 200 Бк/м3">
              <w:r>
                <w:rPr>
                  <w:sz w:val="24"/>
                  <w:color w:val="0000ff"/>
                </w:rPr>
                <w:t xml:space="preserve">&lt;**&gt;</w:t>
              </w:r>
            </w:hyperlink>
          </w:p>
        </w:tc>
      </w:tr>
      <w:tr>
        <w:tc>
          <w:tcPr>
            <w:tcW w:w="4706" w:type="dxa"/>
            <w:tcBorders>
              <w:bottom w:val="nil"/>
            </w:tcBorders>
          </w:tcPr>
          <w:p>
            <w:pPr>
              <w:pStyle w:val="0"/>
            </w:pPr>
            <w:r>
              <w:rPr>
                <w:sz w:val="24"/>
              </w:rPr>
              <w:t xml:space="preserve">Мощность дозы в помещениях, в том числе:</w:t>
            </w:r>
          </w:p>
        </w:tc>
        <w:tc>
          <w:tcPr>
            <w:tcW w:w="1077" w:type="dxa"/>
          </w:tcPr>
          <w:p>
            <w:pPr>
              <w:pStyle w:val="0"/>
              <w:jc w:val="center"/>
            </w:pPr>
            <w:r>
              <w:rPr>
                <w:sz w:val="24"/>
              </w:rPr>
              <w:t xml:space="preserve">мкЗв/ч</w:t>
            </w:r>
          </w:p>
        </w:tc>
        <w:tc>
          <w:tcPr>
            <w:tcW w:w="907" w:type="dxa"/>
          </w:tcPr>
          <w:p>
            <w:pPr>
              <w:pStyle w:val="0"/>
            </w:pPr>
            <w:r>
              <w:rPr>
                <w:sz w:val="24"/>
              </w:rPr>
            </w:r>
          </w:p>
        </w:tc>
        <w:tc>
          <w:tcPr>
            <w:tcW w:w="826" w:type="dxa"/>
          </w:tcPr>
          <w:p>
            <w:pPr>
              <w:pStyle w:val="0"/>
            </w:pPr>
            <w:r>
              <w:rPr>
                <w:sz w:val="24"/>
              </w:rPr>
            </w:r>
          </w:p>
        </w:tc>
        <w:tc>
          <w:tcPr>
            <w:tcW w:w="826" w:type="dxa"/>
          </w:tcPr>
          <w:p>
            <w:pPr>
              <w:pStyle w:val="0"/>
            </w:pPr>
            <w:r>
              <w:rPr>
                <w:sz w:val="24"/>
              </w:rPr>
            </w:r>
          </w:p>
        </w:tc>
        <w:tc>
          <w:tcPr>
            <w:tcW w:w="716" w:type="dxa"/>
          </w:tcPr>
          <w:p>
            <w:pPr>
              <w:pStyle w:val="0"/>
            </w:pPr>
            <w:r>
              <w:rPr>
                <w:sz w:val="24"/>
              </w:rPr>
            </w:r>
          </w:p>
        </w:tc>
      </w:tr>
      <w:tr>
        <w:tc>
          <w:tcPr>
            <w:tcW w:w="4706" w:type="dxa"/>
            <w:tcBorders>
              <w:top w:val="nil"/>
              <w:bottom w:val="nil"/>
            </w:tcBorders>
          </w:tcPr>
          <w:p>
            <w:pPr>
              <w:pStyle w:val="0"/>
            </w:pPr>
            <w:r>
              <w:rPr>
                <w:sz w:val="24"/>
              </w:rPr>
              <w:t xml:space="preserve">- одноэтажных деревянных домов,</w:t>
            </w:r>
          </w:p>
        </w:tc>
        <w:tc>
          <w:tcPr>
            <w:tcW w:w="1077" w:type="dxa"/>
          </w:tcPr>
          <w:p>
            <w:pPr>
              <w:pStyle w:val="0"/>
              <w:jc w:val="center"/>
            </w:pPr>
            <w:r>
              <w:rPr>
                <w:sz w:val="24"/>
              </w:rPr>
              <w:t xml:space="preserve">мкЗв/ч</w:t>
            </w:r>
          </w:p>
        </w:tc>
        <w:tc>
          <w:tcPr>
            <w:tcW w:w="907" w:type="dxa"/>
          </w:tcPr>
          <w:p>
            <w:pPr>
              <w:pStyle w:val="0"/>
            </w:pPr>
            <w:r>
              <w:rPr>
                <w:sz w:val="24"/>
              </w:rPr>
            </w:r>
          </w:p>
        </w:tc>
        <w:tc>
          <w:tcPr>
            <w:tcW w:w="826" w:type="dxa"/>
          </w:tcPr>
          <w:p>
            <w:pPr>
              <w:pStyle w:val="0"/>
            </w:pPr>
            <w:r>
              <w:rPr>
                <w:sz w:val="24"/>
              </w:rPr>
            </w:r>
          </w:p>
        </w:tc>
        <w:tc>
          <w:tcPr>
            <w:tcW w:w="826" w:type="dxa"/>
          </w:tcPr>
          <w:p>
            <w:pPr>
              <w:pStyle w:val="0"/>
            </w:pPr>
            <w:r>
              <w:rPr>
                <w:sz w:val="24"/>
              </w:rPr>
            </w:r>
          </w:p>
        </w:tc>
        <w:tc>
          <w:tcPr>
            <w:tcW w:w="716" w:type="dxa"/>
          </w:tcPr>
          <w:p>
            <w:pPr>
              <w:pStyle w:val="0"/>
            </w:pPr>
            <w:r>
              <w:rPr>
                <w:sz w:val="24"/>
              </w:rPr>
            </w:r>
          </w:p>
        </w:tc>
      </w:tr>
      <w:tr>
        <w:tc>
          <w:tcPr>
            <w:tcW w:w="4706" w:type="dxa"/>
            <w:tcBorders>
              <w:top w:val="nil"/>
              <w:bottom w:val="nil"/>
            </w:tcBorders>
          </w:tcPr>
          <w:p>
            <w:pPr>
              <w:pStyle w:val="0"/>
            </w:pPr>
            <w:r>
              <w:rPr>
                <w:sz w:val="24"/>
              </w:rPr>
              <w:t xml:space="preserve">- одноэтажных каменных домов,</w:t>
            </w:r>
          </w:p>
        </w:tc>
        <w:tc>
          <w:tcPr>
            <w:tcW w:w="1077" w:type="dxa"/>
          </w:tcPr>
          <w:p>
            <w:pPr>
              <w:pStyle w:val="0"/>
              <w:jc w:val="center"/>
            </w:pPr>
            <w:r>
              <w:rPr>
                <w:sz w:val="24"/>
              </w:rPr>
              <w:t xml:space="preserve">мкЗв/ч</w:t>
            </w:r>
          </w:p>
        </w:tc>
        <w:tc>
          <w:tcPr>
            <w:tcW w:w="907" w:type="dxa"/>
          </w:tcPr>
          <w:p>
            <w:pPr>
              <w:pStyle w:val="0"/>
            </w:pPr>
            <w:r>
              <w:rPr>
                <w:sz w:val="24"/>
              </w:rPr>
            </w:r>
          </w:p>
        </w:tc>
        <w:tc>
          <w:tcPr>
            <w:tcW w:w="826" w:type="dxa"/>
          </w:tcPr>
          <w:p>
            <w:pPr>
              <w:pStyle w:val="0"/>
            </w:pPr>
            <w:r>
              <w:rPr>
                <w:sz w:val="24"/>
              </w:rPr>
            </w:r>
          </w:p>
        </w:tc>
        <w:tc>
          <w:tcPr>
            <w:tcW w:w="826" w:type="dxa"/>
          </w:tcPr>
          <w:p>
            <w:pPr>
              <w:pStyle w:val="0"/>
            </w:pPr>
            <w:r>
              <w:rPr>
                <w:sz w:val="24"/>
              </w:rPr>
            </w:r>
          </w:p>
        </w:tc>
        <w:tc>
          <w:tcPr>
            <w:tcW w:w="716" w:type="dxa"/>
          </w:tcPr>
          <w:p>
            <w:pPr>
              <w:pStyle w:val="0"/>
            </w:pPr>
            <w:r>
              <w:rPr>
                <w:sz w:val="24"/>
              </w:rPr>
            </w:r>
          </w:p>
        </w:tc>
      </w:tr>
      <w:tr>
        <w:tc>
          <w:tcPr>
            <w:tcW w:w="4706" w:type="dxa"/>
            <w:tcBorders>
              <w:top w:val="nil"/>
            </w:tcBorders>
          </w:tcPr>
          <w:p>
            <w:pPr>
              <w:pStyle w:val="0"/>
            </w:pPr>
            <w:r>
              <w:rPr>
                <w:sz w:val="24"/>
              </w:rPr>
              <w:t xml:space="preserve">- многоэтажных каменных домов.</w:t>
            </w:r>
          </w:p>
        </w:tc>
        <w:tc>
          <w:tcPr>
            <w:tcW w:w="1077" w:type="dxa"/>
          </w:tcPr>
          <w:p>
            <w:pPr>
              <w:pStyle w:val="0"/>
              <w:jc w:val="center"/>
            </w:pPr>
            <w:r>
              <w:rPr>
                <w:sz w:val="24"/>
              </w:rPr>
              <w:t xml:space="preserve">мкЗв/ч</w:t>
            </w:r>
          </w:p>
        </w:tc>
        <w:tc>
          <w:tcPr>
            <w:tcW w:w="907" w:type="dxa"/>
          </w:tcPr>
          <w:p>
            <w:pPr>
              <w:pStyle w:val="0"/>
            </w:pPr>
            <w:r>
              <w:rPr>
                <w:sz w:val="24"/>
              </w:rPr>
            </w:r>
          </w:p>
        </w:tc>
        <w:tc>
          <w:tcPr>
            <w:tcW w:w="826" w:type="dxa"/>
          </w:tcPr>
          <w:p>
            <w:pPr>
              <w:pStyle w:val="0"/>
            </w:pPr>
            <w:r>
              <w:rPr>
                <w:sz w:val="24"/>
              </w:rPr>
            </w:r>
          </w:p>
        </w:tc>
        <w:tc>
          <w:tcPr>
            <w:tcW w:w="826" w:type="dxa"/>
          </w:tcPr>
          <w:p>
            <w:pPr>
              <w:pStyle w:val="0"/>
            </w:pPr>
            <w:r>
              <w:rPr>
                <w:sz w:val="24"/>
              </w:rPr>
            </w:r>
          </w:p>
        </w:tc>
        <w:tc>
          <w:tcPr>
            <w:tcW w:w="716" w:type="dxa"/>
          </w:tcPr>
          <w:p>
            <w:pPr>
              <w:pStyle w:val="0"/>
            </w:pPr>
            <w:r>
              <w:rPr>
                <w:sz w:val="24"/>
              </w:rPr>
            </w:r>
          </w:p>
        </w:tc>
      </w:tr>
      <w:tr>
        <w:tc>
          <w:tcPr>
            <w:tcW w:w="4706" w:type="dxa"/>
          </w:tcPr>
          <w:p>
            <w:pPr>
              <w:pStyle w:val="0"/>
            </w:pPr>
            <w:r>
              <w:rPr>
                <w:sz w:val="24"/>
              </w:rPr>
              <w:t xml:space="preserve">Мощность дозы на открытом воздухе</w:t>
            </w:r>
          </w:p>
        </w:tc>
        <w:tc>
          <w:tcPr>
            <w:tcW w:w="1077" w:type="dxa"/>
          </w:tcPr>
          <w:p>
            <w:pPr>
              <w:pStyle w:val="0"/>
              <w:jc w:val="center"/>
            </w:pPr>
            <w:r>
              <w:rPr>
                <w:sz w:val="24"/>
              </w:rPr>
              <w:t xml:space="preserve">мкЗв/ч</w:t>
            </w:r>
          </w:p>
        </w:tc>
        <w:tc>
          <w:tcPr>
            <w:tcW w:w="907" w:type="dxa"/>
          </w:tcPr>
          <w:p>
            <w:pPr>
              <w:pStyle w:val="0"/>
            </w:pPr>
            <w:r>
              <w:rPr>
                <w:sz w:val="24"/>
              </w:rPr>
            </w:r>
          </w:p>
        </w:tc>
        <w:tc>
          <w:tcPr>
            <w:tcW w:w="826" w:type="dxa"/>
          </w:tcPr>
          <w:p>
            <w:pPr>
              <w:pStyle w:val="0"/>
            </w:pPr>
            <w:r>
              <w:rPr>
                <w:sz w:val="24"/>
              </w:rPr>
            </w:r>
          </w:p>
        </w:tc>
        <w:tc>
          <w:tcPr>
            <w:tcW w:w="826" w:type="dxa"/>
          </w:tcPr>
          <w:p>
            <w:pPr>
              <w:pStyle w:val="0"/>
            </w:pPr>
            <w:r>
              <w:rPr>
                <w:sz w:val="24"/>
              </w:rPr>
            </w:r>
          </w:p>
        </w:tc>
        <w:tc>
          <w:tcPr>
            <w:tcW w:w="716" w:type="dxa"/>
          </w:tcPr>
          <w:p>
            <w:pPr>
              <w:pStyle w:val="0"/>
            </w:pPr>
            <w:r>
              <w:rPr>
                <w:sz w:val="24"/>
              </w:rPr>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9071"/>
      </w:tblGrid>
      <w:tr>
        <w:tc>
          <w:tcPr>
            <w:tcW w:w="9071" w:type="dxa"/>
            <w:tcBorders>
              <w:top w:val="nil"/>
              <w:left w:val="nil"/>
              <w:bottom w:val="nil"/>
              <w:right w:val="nil"/>
            </w:tcBorders>
          </w:tcPr>
          <w:bookmarkStart w:id="1801" w:name="P1801"/>
          <w:bookmarkEnd w:id="1801"/>
          <w:p>
            <w:pPr>
              <w:pStyle w:val="0"/>
              <w:jc w:val="both"/>
            </w:pPr>
            <w:r>
              <w:rPr>
                <w:sz w:val="24"/>
              </w:rPr>
              <w:t xml:space="preserve">Примечания:</w:t>
            </w:r>
          </w:p>
        </w:tc>
      </w:tr>
      <w:tr>
        <w:tc>
          <w:tcPr>
            <w:tcW w:w="9071" w:type="dxa"/>
            <w:tcBorders>
              <w:top w:val="nil"/>
              <w:left w:val="nil"/>
              <w:bottom w:val="nil"/>
              <w:right w:val="nil"/>
            </w:tcBorders>
          </w:tcPr>
          <w:bookmarkStart w:id="1802" w:name="P1802"/>
          <w:bookmarkEnd w:id="1802"/>
          <w:p>
            <w:pPr>
              <w:pStyle w:val="0"/>
              <w:jc w:val="both"/>
            </w:pPr>
            <w:r>
              <w:rPr>
                <w:sz w:val="24"/>
              </w:rPr>
              <w:t xml:space="preserve">&lt;*&gt; число проб, с удельной эффективной активностью природных радионуклидов больше 370 Бк/кг</w:t>
            </w:r>
          </w:p>
          <w:bookmarkStart w:id="1803" w:name="P1803"/>
          <w:bookmarkEnd w:id="1803"/>
          <w:p>
            <w:pPr>
              <w:pStyle w:val="0"/>
              <w:jc w:val="both"/>
            </w:pPr>
            <w:r>
              <w:rPr>
                <w:sz w:val="24"/>
              </w:rPr>
              <w:t xml:space="preserve">&lt;**&gt; число измерений, результаты которых превышают 200 Бк/м</w:t>
            </w:r>
            <w:r>
              <w:rPr>
                <w:sz w:val="24"/>
                <w:vertAlign w:val="superscript"/>
              </w:rPr>
              <w:t xml:space="preserve">3</w:t>
            </w:r>
          </w:p>
        </w:tc>
      </w:tr>
    </w:tbl>
    <w:p>
      <w:pPr>
        <w:pStyle w:val="0"/>
        <w:jc w:val="both"/>
      </w:pPr>
      <w:r>
        <w:rPr>
          <w:sz w:val="24"/>
        </w:rPr>
      </w:r>
    </w:p>
    <w:tbl>
      <w:tblPr>
        <w:tblInd w:w="0" w:type="dxa"/>
        <w:tblLayout w:type="fixed"/>
        <w:tblBorders>
          <w:bottom w:val="single" w:sz="4"/>
          <w:insideH w:val="single" w:sz="4"/>
        </w:tblBorders>
        <w:tblCellMar>
          <w:top w:w="102" w:type="dxa"/>
          <w:left w:w="62" w:type="dxa"/>
          <w:bottom w:w="102" w:type="dxa"/>
          <w:right w:w="62" w:type="dxa"/>
        </w:tblCellMar>
      </w:tblPr>
      <w:tblGrid>
        <w:gridCol w:w="7540"/>
        <w:gridCol w:w="1531"/>
      </w:tblGrid>
      <w:tr>
        <w:tblPrEx>
          <w:tblBorders>
            <w:insideH w:val="nil"/>
          </w:tblBorders>
        </w:tblPrEx>
        <w:tc>
          <w:tcPr>
            <w:tcW w:w="7540" w:type="dxa"/>
            <w:tcBorders>
              <w:top w:val="nil"/>
              <w:left w:val="nil"/>
              <w:bottom w:val="nil"/>
              <w:right w:val="nil"/>
            </w:tcBorders>
          </w:tcPr>
          <w:bookmarkStart w:id="1805" w:name="P1805"/>
          <w:bookmarkEnd w:id="1805"/>
          <w:p>
            <w:pPr>
              <w:pStyle w:val="0"/>
              <w:outlineLvl w:val="1"/>
            </w:pPr>
            <w:r>
              <w:rPr>
                <w:sz w:val="24"/>
              </w:rPr>
              <w:t xml:space="preserve">4. Наличие на территории радиационных аномалий и загрязнений</w:t>
            </w:r>
          </w:p>
        </w:tc>
        <w:tc>
          <w:tcPr>
            <w:tcW w:w="1531" w:type="dxa"/>
            <w:tcBorders>
              <w:top w:val="nil"/>
              <w:left w:val="nil"/>
              <w:right w:val="nil"/>
            </w:tcBorders>
          </w:tcPr>
          <w:p>
            <w:pPr>
              <w:pStyle w:val="0"/>
            </w:pPr>
            <w:r>
              <w:rPr>
                <w:sz w:val="24"/>
              </w:rPr>
            </w:r>
          </w:p>
        </w:tc>
      </w:tr>
      <w:tr>
        <w:tblPrEx>
          <w:tblBorders>
            <w:insideH w:val="nil"/>
          </w:tblBorders>
        </w:tblPrEx>
        <w:tc>
          <w:tcPr>
            <w:gridSpan w:val="2"/>
            <w:tcW w:w="9071" w:type="dxa"/>
            <w:tcBorders>
              <w:top w:val="nil"/>
              <w:left w:val="nil"/>
              <w:right w:val="nil"/>
            </w:tcBorders>
          </w:tcPr>
          <w:p>
            <w:pPr>
              <w:pStyle w:val="0"/>
            </w:pPr>
            <w:r>
              <w:rPr>
                <w:sz w:val="24"/>
              </w:rPr>
            </w:r>
          </w:p>
        </w:tc>
      </w:tr>
      <w:tr>
        <w:tc>
          <w:tcPr>
            <w:gridSpan w:val="2"/>
            <w:tcW w:w="9071" w:type="dxa"/>
            <w:tcBorders>
              <w:left w:val="nil"/>
              <w:right w:val="nil"/>
            </w:tcBorders>
          </w:tcPr>
          <w:p>
            <w:pPr>
              <w:pStyle w:val="0"/>
            </w:pPr>
            <w:r>
              <w:rPr>
                <w:sz w:val="24"/>
              </w:rPr>
            </w:r>
          </w:p>
        </w:tc>
      </w:tr>
      <w:tr>
        <w:tc>
          <w:tcPr>
            <w:gridSpan w:val="2"/>
            <w:tcW w:w="9071" w:type="dxa"/>
            <w:tcBorders>
              <w:left w:val="nil"/>
              <w:right w:val="nil"/>
            </w:tcBorders>
          </w:tcPr>
          <w:p>
            <w:pPr>
              <w:pStyle w:val="0"/>
            </w:pPr>
            <w:r>
              <w:rPr>
                <w:sz w:val="24"/>
              </w:rPr>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9071"/>
      </w:tblGrid>
      <w:tr>
        <w:tc>
          <w:tcPr>
            <w:tcW w:w="9071" w:type="dxa"/>
            <w:tcBorders>
              <w:top w:val="nil"/>
              <w:left w:val="nil"/>
              <w:bottom w:val="nil"/>
              <w:right w:val="nil"/>
            </w:tcBorders>
          </w:tcPr>
          <w:bookmarkStart w:id="1811" w:name="P1811"/>
          <w:bookmarkEnd w:id="1811"/>
          <w:p>
            <w:pPr>
              <w:pStyle w:val="0"/>
              <w:outlineLvl w:val="1"/>
              <w:jc w:val="both"/>
            </w:pPr>
            <w:r>
              <w:rPr>
                <w:sz w:val="24"/>
              </w:rPr>
              <w:t xml:space="preserve">5. Облучение населения при медицинских диагностических процедурах в отчетном году</w:t>
            </w:r>
          </w:p>
        </w:tc>
      </w:tr>
    </w:tbl>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2721"/>
        <w:gridCol w:w="1578"/>
        <w:gridCol w:w="1578"/>
        <w:gridCol w:w="1578"/>
        <w:gridCol w:w="1578"/>
      </w:tblGrid>
      <w:tr>
        <w:tc>
          <w:tcPr>
            <w:tcW w:w="2721" w:type="dxa"/>
          </w:tcPr>
          <w:bookmarkStart w:id="1813" w:name="P1813"/>
          <w:bookmarkEnd w:id="1813"/>
          <w:p>
            <w:pPr>
              <w:pStyle w:val="0"/>
              <w:jc w:val="center"/>
            </w:pPr>
            <w:r>
              <w:rPr>
                <w:sz w:val="24"/>
              </w:rPr>
              <w:t xml:space="preserve">Виды процедур</w:t>
            </w:r>
          </w:p>
        </w:tc>
        <w:tc>
          <w:tcPr>
            <w:tcW w:w="1578" w:type="dxa"/>
          </w:tcPr>
          <w:p>
            <w:pPr>
              <w:pStyle w:val="0"/>
              <w:jc w:val="center"/>
            </w:pPr>
            <w:r>
              <w:rPr>
                <w:sz w:val="24"/>
              </w:rPr>
              <w:t xml:space="preserve">Количество процедур, шт./год</w:t>
            </w:r>
          </w:p>
        </w:tc>
        <w:tc>
          <w:tcPr>
            <w:tcW w:w="1578" w:type="dxa"/>
          </w:tcPr>
          <w:p>
            <w:pPr>
              <w:pStyle w:val="0"/>
              <w:jc w:val="center"/>
            </w:pPr>
            <w:r>
              <w:rPr>
                <w:sz w:val="24"/>
              </w:rPr>
              <w:t xml:space="preserve">Средняя индивидуальная доза, мЗв/процедуру</w:t>
            </w:r>
          </w:p>
        </w:tc>
        <w:tc>
          <w:tcPr>
            <w:tcW w:w="1578" w:type="dxa"/>
          </w:tcPr>
          <w:p>
            <w:pPr>
              <w:pStyle w:val="0"/>
              <w:jc w:val="center"/>
            </w:pPr>
            <w:r>
              <w:rPr>
                <w:sz w:val="24"/>
              </w:rPr>
              <w:t xml:space="preserve">Коллективная доза, чел.-Зв/год</w:t>
            </w:r>
          </w:p>
        </w:tc>
        <w:tc>
          <w:tcPr>
            <w:tcW w:w="1578" w:type="dxa"/>
          </w:tcPr>
          <w:p>
            <w:pPr>
              <w:pStyle w:val="0"/>
              <w:jc w:val="center"/>
            </w:pPr>
            <w:r>
              <w:rPr>
                <w:sz w:val="24"/>
              </w:rPr>
              <w:t xml:space="preserve">Процент измеренных доз</w:t>
            </w:r>
          </w:p>
        </w:tc>
      </w:tr>
      <w:tr>
        <w:tc>
          <w:tcPr>
            <w:tcW w:w="2721" w:type="dxa"/>
          </w:tcPr>
          <w:p>
            <w:pPr>
              <w:pStyle w:val="0"/>
            </w:pPr>
            <w:r>
              <w:rPr>
                <w:sz w:val="24"/>
              </w:rPr>
              <w:t xml:space="preserve">Флюорографические</w:t>
            </w:r>
          </w:p>
        </w:tc>
        <w:tc>
          <w:tcPr>
            <w:tcW w:w="1578" w:type="dxa"/>
          </w:tcPr>
          <w:p>
            <w:pPr>
              <w:pStyle w:val="0"/>
            </w:pPr>
            <w:r>
              <w:rPr>
                <w:sz w:val="24"/>
              </w:rPr>
            </w:r>
          </w:p>
        </w:tc>
        <w:tc>
          <w:tcPr>
            <w:tcW w:w="1578" w:type="dxa"/>
          </w:tcPr>
          <w:p>
            <w:pPr>
              <w:pStyle w:val="0"/>
            </w:pPr>
            <w:r>
              <w:rPr>
                <w:sz w:val="24"/>
              </w:rPr>
            </w:r>
          </w:p>
        </w:tc>
        <w:tc>
          <w:tcPr>
            <w:tcW w:w="1578" w:type="dxa"/>
          </w:tcPr>
          <w:p>
            <w:pPr>
              <w:pStyle w:val="0"/>
            </w:pPr>
            <w:r>
              <w:rPr>
                <w:sz w:val="24"/>
              </w:rPr>
            </w:r>
          </w:p>
        </w:tc>
        <w:tc>
          <w:tcPr>
            <w:tcW w:w="1578" w:type="dxa"/>
          </w:tcPr>
          <w:p>
            <w:pPr>
              <w:pStyle w:val="0"/>
            </w:pPr>
            <w:r>
              <w:rPr>
                <w:sz w:val="24"/>
              </w:rPr>
            </w:r>
          </w:p>
        </w:tc>
      </w:tr>
      <w:tr>
        <w:tc>
          <w:tcPr>
            <w:tcW w:w="2721" w:type="dxa"/>
          </w:tcPr>
          <w:p>
            <w:pPr>
              <w:pStyle w:val="0"/>
            </w:pPr>
            <w:r>
              <w:rPr>
                <w:sz w:val="24"/>
              </w:rPr>
              <w:t xml:space="preserve">Рентгенографические</w:t>
            </w:r>
          </w:p>
        </w:tc>
        <w:tc>
          <w:tcPr>
            <w:tcW w:w="1578" w:type="dxa"/>
          </w:tcPr>
          <w:p>
            <w:pPr>
              <w:pStyle w:val="0"/>
            </w:pPr>
            <w:r>
              <w:rPr>
                <w:sz w:val="24"/>
              </w:rPr>
            </w:r>
          </w:p>
        </w:tc>
        <w:tc>
          <w:tcPr>
            <w:tcW w:w="1578" w:type="dxa"/>
          </w:tcPr>
          <w:p>
            <w:pPr>
              <w:pStyle w:val="0"/>
            </w:pPr>
            <w:r>
              <w:rPr>
                <w:sz w:val="24"/>
              </w:rPr>
            </w:r>
          </w:p>
        </w:tc>
        <w:tc>
          <w:tcPr>
            <w:tcW w:w="1578" w:type="dxa"/>
          </w:tcPr>
          <w:p>
            <w:pPr>
              <w:pStyle w:val="0"/>
            </w:pPr>
            <w:r>
              <w:rPr>
                <w:sz w:val="24"/>
              </w:rPr>
            </w:r>
          </w:p>
        </w:tc>
        <w:tc>
          <w:tcPr>
            <w:tcW w:w="1578" w:type="dxa"/>
          </w:tcPr>
          <w:p>
            <w:pPr>
              <w:pStyle w:val="0"/>
            </w:pPr>
            <w:r>
              <w:rPr>
                <w:sz w:val="24"/>
              </w:rPr>
            </w:r>
          </w:p>
        </w:tc>
      </w:tr>
      <w:tr>
        <w:tc>
          <w:tcPr>
            <w:tcW w:w="2721" w:type="dxa"/>
          </w:tcPr>
          <w:p>
            <w:pPr>
              <w:pStyle w:val="0"/>
            </w:pPr>
            <w:r>
              <w:rPr>
                <w:sz w:val="24"/>
              </w:rPr>
              <w:t xml:space="preserve">Рентгеноскопические</w:t>
            </w:r>
          </w:p>
        </w:tc>
        <w:tc>
          <w:tcPr>
            <w:tcW w:w="1578" w:type="dxa"/>
          </w:tcPr>
          <w:p>
            <w:pPr>
              <w:pStyle w:val="0"/>
            </w:pPr>
            <w:r>
              <w:rPr>
                <w:sz w:val="24"/>
              </w:rPr>
            </w:r>
          </w:p>
        </w:tc>
        <w:tc>
          <w:tcPr>
            <w:tcW w:w="1578" w:type="dxa"/>
          </w:tcPr>
          <w:p>
            <w:pPr>
              <w:pStyle w:val="0"/>
            </w:pPr>
            <w:r>
              <w:rPr>
                <w:sz w:val="24"/>
              </w:rPr>
            </w:r>
          </w:p>
        </w:tc>
        <w:tc>
          <w:tcPr>
            <w:tcW w:w="1578" w:type="dxa"/>
          </w:tcPr>
          <w:p>
            <w:pPr>
              <w:pStyle w:val="0"/>
            </w:pPr>
            <w:r>
              <w:rPr>
                <w:sz w:val="24"/>
              </w:rPr>
            </w:r>
          </w:p>
        </w:tc>
        <w:tc>
          <w:tcPr>
            <w:tcW w:w="1578" w:type="dxa"/>
          </w:tcPr>
          <w:p>
            <w:pPr>
              <w:pStyle w:val="0"/>
            </w:pPr>
            <w:r>
              <w:rPr>
                <w:sz w:val="24"/>
              </w:rPr>
            </w:r>
          </w:p>
        </w:tc>
      </w:tr>
      <w:tr>
        <w:tc>
          <w:tcPr>
            <w:tcW w:w="2721" w:type="dxa"/>
          </w:tcPr>
          <w:p>
            <w:pPr>
              <w:pStyle w:val="0"/>
            </w:pPr>
            <w:r>
              <w:rPr>
                <w:sz w:val="24"/>
              </w:rPr>
              <w:t xml:space="preserve">Компьютерная томография</w:t>
            </w:r>
          </w:p>
        </w:tc>
        <w:tc>
          <w:tcPr>
            <w:tcW w:w="1578" w:type="dxa"/>
          </w:tcPr>
          <w:p>
            <w:pPr>
              <w:pStyle w:val="0"/>
            </w:pPr>
            <w:r>
              <w:rPr>
                <w:sz w:val="24"/>
              </w:rPr>
            </w:r>
          </w:p>
        </w:tc>
        <w:tc>
          <w:tcPr>
            <w:tcW w:w="1578" w:type="dxa"/>
          </w:tcPr>
          <w:p>
            <w:pPr>
              <w:pStyle w:val="0"/>
            </w:pPr>
            <w:r>
              <w:rPr>
                <w:sz w:val="24"/>
              </w:rPr>
            </w:r>
          </w:p>
        </w:tc>
        <w:tc>
          <w:tcPr>
            <w:tcW w:w="1578" w:type="dxa"/>
          </w:tcPr>
          <w:p>
            <w:pPr>
              <w:pStyle w:val="0"/>
            </w:pPr>
            <w:r>
              <w:rPr>
                <w:sz w:val="24"/>
              </w:rPr>
            </w:r>
          </w:p>
        </w:tc>
        <w:tc>
          <w:tcPr>
            <w:tcW w:w="1578" w:type="dxa"/>
          </w:tcPr>
          <w:p>
            <w:pPr>
              <w:pStyle w:val="0"/>
            </w:pPr>
            <w:r>
              <w:rPr>
                <w:sz w:val="24"/>
              </w:rPr>
            </w:r>
          </w:p>
        </w:tc>
      </w:tr>
      <w:tr>
        <w:tc>
          <w:tcPr>
            <w:tcW w:w="2721" w:type="dxa"/>
          </w:tcPr>
          <w:p>
            <w:pPr>
              <w:pStyle w:val="0"/>
            </w:pPr>
            <w:r>
              <w:rPr>
                <w:sz w:val="24"/>
              </w:rPr>
              <w:t xml:space="preserve">Радионуклидные исследования</w:t>
            </w:r>
          </w:p>
        </w:tc>
        <w:tc>
          <w:tcPr>
            <w:tcW w:w="1578" w:type="dxa"/>
          </w:tcPr>
          <w:p>
            <w:pPr>
              <w:pStyle w:val="0"/>
            </w:pPr>
            <w:r>
              <w:rPr>
                <w:sz w:val="24"/>
              </w:rPr>
            </w:r>
          </w:p>
        </w:tc>
        <w:tc>
          <w:tcPr>
            <w:tcW w:w="1578" w:type="dxa"/>
          </w:tcPr>
          <w:p>
            <w:pPr>
              <w:pStyle w:val="0"/>
            </w:pPr>
            <w:r>
              <w:rPr>
                <w:sz w:val="24"/>
              </w:rPr>
            </w:r>
          </w:p>
        </w:tc>
        <w:tc>
          <w:tcPr>
            <w:tcW w:w="1578" w:type="dxa"/>
          </w:tcPr>
          <w:p>
            <w:pPr>
              <w:pStyle w:val="0"/>
            </w:pPr>
            <w:r>
              <w:rPr>
                <w:sz w:val="24"/>
              </w:rPr>
            </w:r>
          </w:p>
        </w:tc>
        <w:tc>
          <w:tcPr>
            <w:tcW w:w="1578" w:type="dxa"/>
          </w:tcPr>
          <w:p>
            <w:pPr>
              <w:pStyle w:val="0"/>
            </w:pPr>
            <w:r>
              <w:rPr>
                <w:sz w:val="24"/>
              </w:rPr>
            </w:r>
          </w:p>
        </w:tc>
      </w:tr>
      <w:tr>
        <w:tc>
          <w:tcPr>
            <w:tcW w:w="2721" w:type="dxa"/>
          </w:tcPr>
          <w:p>
            <w:pPr>
              <w:pStyle w:val="0"/>
            </w:pPr>
            <w:r>
              <w:rPr>
                <w:sz w:val="24"/>
              </w:rPr>
              <w:t xml:space="preserve">Специальные исследования</w:t>
            </w:r>
          </w:p>
        </w:tc>
        <w:tc>
          <w:tcPr>
            <w:tcW w:w="1578" w:type="dxa"/>
          </w:tcPr>
          <w:p>
            <w:pPr>
              <w:pStyle w:val="0"/>
            </w:pPr>
            <w:r>
              <w:rPr>
                <w:sz w:val="24"/>
              </w:rPr>
            </w:r>
          </w:p>
        </w:tc>
        <w:tc>
          <w:tcPr>
            <w:tcW w:w="1578" w:type="dxa"/>
          </w:tcPr>
          <w:p>
            <w:pPr>
              <w:pStyle w:val="0"/>
            </w:pPr>
            <w:r>
              <w:rPr>
                <w:sz w:val="24"/>
              </w:rPr>
            </w:r>
          </w:p>
        </w:tc>
        <w:tc>
          <w:tcPr>
            <w:tcW w:w="1578" w:type="dxa"/>
          </w:tcPr>
          <w:p>
            <w:pPr>
              <w:pStyle w:val="0"/>
            </w:pPr>
            <w:r>
              <w:rPr>
                <w:sz w:val="24"/>
              </w:rPr>
            </w:r>
          </w:p>
        </w:tc>
        <w:tc>
          <w:tcPr>
            <w:tcW w:w="1578" w:type="dxa"/>
          </w:tcPr>
          <w:p>
            <w:pPr>
              <w:pStyle w:val="0"/>
            </w:pPr>
            <w:r>
              <w:rPr>
                <w:sz w:val="24"/>
              </w:rPr>
            </w:r>
          </w:p>
        </w:tc>
      </w:tr>
      <w:tr>
        <w:tc>
          <w:tcPr>
            <w:tcW w:w="2721" w:type="dxa"/>
          </w:tcPr>
          <w:p>
            <w:pPr>
              <w:pStyle w:val="0"/>
            </w:pPr>
            <w:r>
              <w:rPr>
                <w:sz w:val="24"/>
              </w:rPr>
              <w:t xml:space="preserve">Прочие</w:t>
            </w:r>
          </w:p>
        </w:tc>
        <w:tc>
          <w:tcPr>
            <w:tcW w:w="1578" w:type="dxa"/>
          </w:tcPr>
          <w:p>
            <w:pPr>
              <w:pStyle w:val="0"/>
            </w:pPr>
            <w:r>
              <w:rPr>
                <w:sz w:val="24"/>
              </w:rPr>
            </w:r>
          </w:p>
        </w:tc>
        <w:tc>
          <w:tcPr>
            <w:tcW w:w="1578" w:type="dxa"/>
          </w:tcPr>
          <w:p>
            <w:pPr>
              <w:pStyle w:val="0"/>
            </w:pPr>
            <w:r>
              <w:rPr>
                <w:sz w:val="24"/>
              </w:rPr>
            </w:r>
          </w:p>
        </w:tc>
        <w:tc>
          <w:tcPr>
            <w:tcW w:w="1578" w:type="dxa"/>
          </w:tcPr>
          <w:p>
            <w:pPr>
              <w:pStyle w:val="0"/>
            </w:pPr>
            <w:r>
              <w:rPr>
                <w:sz w:val="24"/>
              </w:rPr>
            </w:r>
          </w:p>
        </w:tc>
        <w:tc>
          <w:tcPr>
            <w:tcW w:w="1578" w:type="dxa"/>
          </w:tcPr>
          <w:p>
            <w:pPr>
              <w:pStyle w:val="0"/>
            </w:pPr>
            <w:r>
              <w:rPr>
                <w:sz w:val="24"/>
              </w:rPr>
            </w:r>
          </w:p>
        </w:tc>
      </w:tr>
      <w:tr>
        <w:tc>
          <w:tcPr>
            <w:tcW w:w="2721" w:type="dxa"/>
          </w:tcPr>
          <w:p>
            <w:pPr>
              <w:pStyle w:val="0"/>
              <w:jc w:val="center"/>
            </w:pPr>
            <w:r>
              <w:rPr>
                <w:sz w:val="24"/>
              </w:rPr>
              <w:t xml:space="preserve">ВСЕГО:</w:t>
            </w:r>
          </w:p>
        </w:tc>
        <w:tc>
          <w:tcPr>
            <w:tcW w:w="1578" w:type="dxa"/>
          </w:tcPr>
          <w:p>
            <w:pPr>
              <w:pStyle w:val="0"/>
            </w:pPr>
            <w:r>
              <w:rPr>
                <w:sz w:val="24"/>
              </w:rPr>
            </w:r>
          </w:p>
        </w:tc>
        <w:tc>
          <w:tcPr>
            <w:tcW w:w="1578" w:type="dxa"/>
          </w:tcPr>
          <w:p>
            <w:pPr>
              <w:pStyle w:val="0"/>
            </w:pPr>
            <w:r>
              <w:rPr>
                <w:sz w:val="24"/>
              </w:rPr>
            </w:r>
          </w:p>
        </w:tc>
        <w:tc>
          <w:tcPr>
            <w:tcW w:w="1578" w:type="dxa"/>
          </w:tcPr>
          <w:p>
            <w:pPr>
              <w:pStyle w:val="0"/>
            </w:pPr>
            <w:r>
              <w:rPr>
                <w:sz w:val="24"/>
              </w:rPr>
            </w:r>
          </w:p>
        </w:tc>
        <w:tc>
          <w:tcPr>
            <w:tcW w:w="1578" w:type="dxa"/>
          </w:tcPr>
          <w:p>
            <w:pPr>
              <w:pStyle w:val="0"/>
            </w:pPr>
            <w:r>
              <w:rPr>
                <w:sz w:val="24"/>
              </w:rPr>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9071"/>
      </w:tblGrid>
      <w:tr>
        <w:tc>
          <w:tcPr>
            <w:tcW w:w="9071" w:type="dxa"/>
            <w:tcBorders>
              <w:top w:val="nil"/>
              <w:left w:val="nil"/>
              <w:bottom w:val="nil"/>
              <w:right w:val="nil"/>
            </w:tcBorders>
          </w:tcPr>
          <w:p>
            <w:pPr>
              <w:pStyle w:val="0"/>
              <w:outlineLvl w:val="1"/>
              <w:jc w:val="both"/>
            </w:pPr>
            <w:r>
              <w:rPr>
                <w:sz w:val="24"/>
              </w:rPr>
              <w:t xml:space="preserve">6. Анализ доз облучения населения, в т.ч. персонала - лиц, работающих с техногенными источниками (далее по тексту - группа А) и лиц, находящихся по условиям работы в сфере воздействия техногенных источников (далее по тексту - группа Б)</w:t>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9071"/>
      </w:tblGrid>
      <w:tr>
        <w:tc>
          <w:tcPr>
            <w:tcW w:w="9071" w:type="dxa"/>
            <w:tcBorders>
              <w:top w:val="nil"/>
              <w:left w:val="nil"/>
              <w:bottom w:val="nil"/>
              <w:right w:val="nil"/>
            </w:tcBorders>
          </w:tcPr>
          <w:p>
            <w:pPr>
              <w:pStyle w:val="0"/>
              <w:outlineLvl w:val="2"/>
              <w:jc w:val="both"/>
            </w:pPr>
            <w:r>
              <w:rPr>
                <w:sz w:val="24"/>
              </w:rPr>
              <w:t xml:space="preserve">6.1. Годовые дозы облучения персонала</w:t>
            </w:r>
          </w:p>
        </w:tc>
      </w:tr>
    </w:tbl>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031"/>
        <w:gridCol w:w="743"/>
        <w:gridCol w:w="736"/>
        <w:gridCol w:w="736"/>
        <w:gridCol w:w="736"/>
        <w:gridCol w:w="736"/>
        <w:gridCol w:w="736"/>
        <w:gridCol w:w="736"/>
        <w:gridCol w:w="740"/>
        <w:gridCol w:w="1098"/>
        <w:gridCol w:w="1020"/>
      </w:tblGrid>
      <w:tr>
        <w:tc>
          <w:tcPr>
            <w:tcW w:w="1031" w:type="dxa"/>
            <w:vMerge w:val="restart"/>
          </w:tcPr>
          <w:bookmarkStart w:id="1863" w:name="P1863"/>
          <w:bookmarkEnd w:id="1863"/>
          <w:p>
            <w:pPr>
              <w:pStyle w:val="0"/>
              <w:jc w:val="center"/>
            </w:pPr>
            <w:r>
              <w:rPr>
                <w:sz w:val="24"/>
              </w:rPr>
              <w:t xml:space="preserve">Группа персонала</w:t>
            </w:r>
          </w:p>
        </w:tc>
        <w:tc>
          <w:tcPr>
            <w:tcW w:w="743" w:type="dxa"/>
            <w:vMerge w:val="restart"/>
          </w:tcPr>
          <w:p>
            <w:pPr>
              <w:pStyle w:val="0"/>
              <w:jc w:val="center"/>
            </w:pPr>
            <w:r>
              <w:rPr>
                <w:sz w:val="24"/>
              </w:rPr>
              <w:t xml:space="preserve">Численность чел.</w:t>
            </w:r>
          </w:p>
        </w:tc>
        <w:tc>
          <w:tcPr>
            <w:gridSpan w:val="7"/>
            <w:tcW w:w="5156" w:type="dxa"/>
          </w:tcPr>
          <w:p>
            <w:pPr>
              <w:pStyle w:val="0"/>
              <w:jc w:val="center"/>
            </w:pPr>
            <w:r>
              <w:rPr>
                <w:sz w:val="24"/>
              </w:rPr>
              <w:t xml:space="preserve">Численность персонала (чел.), имеющего индивидуальную дозу в диапазоне:</w:t>
            </w:r>
          </w:p>
        </w:tc>
        <w:tc>
          <w:tcPr>
            <w:tcW w:w="1098" w:type="dxa"/>
            <w:vMerge w:val="restart"/>
          </w:tcPr>
          <w:p>
            <w:pPr>
              <w:pStyle w:val="0"/>
              <w:jc w:val="center"/>
            </w:pPr>
            <w:r>
              <w:rPr>
                <w:sz w:val="24"/>
              </w:rPr>
              <w:t xml:space="preserve">Средняя индивидуальная доза</w:t>
            </w:r>
          </w:p>
        </w:tc>
        <w:tc>
          <w:tcPr>
            <w:tcW w:w="1020" w:type="dxa"/>
            <w:vMerge w:val="restart"/>
          </w:tcPr>
          <w:p>
            <w:pPr>
              <w:pStyle w:val="0"/>
              <w:jc w:val="center"/>
            </w:pPr>
            <w:r>
              <w:rPr>
                <w:sz w:val="24"/>
              </w:rPr>
              <w:t xml:space="preserve">Коллективная доза</w:t>
            </w:r>
          </w:p>
        </w:tc>
      </w:tr>
      <w:tr>
        <w:tc>
          <w:tcPr>
            <w:vMerge w:val="continue"/>
          </w:tcPr>
          <w:p/>
        </w:tc>
        <w:tc>
          <w:tcPr>
            <w:vMerge w:val="continue"/>
          </w:tcPr>
          <w:p/>
        </w:tc>
        <w:tc>
          <w:tcPr>
            <w:gridSpan w:val="7"/>
            <w:tcW w:w="5156" w:type="dxa"/>
          </w:tcPr>
          <w:p>
            <w:pPr>
              <w:pStyle w:val="0"/>
              <w:jc w:val="center"/>
            </w:pPr>
            <w:r>
              <w:rPr>
                <w:sz w:val="24"/>
              </w:rPr>
              <w:t xml:space="preserve">мЗв/год</w:t>
            </w:r>
          </w:p>
        </w:tc>
        <w:tc>
          <w:tcPr>
            <w:vMerge w:val="continue"/>
          </w:tcPr>
          <w:p/>
        </w:tc>
        <w:tc>
          <w:tcPr>
            <w:vMerge w:val="continue"/>
          </w:tcPr>
          <w:p/>
        </w:tc>
      </w:tr>
      <w:tr>
        <w:tc>
          <w:tcPr>
            <w:vMerge w:val="continue"/>
          </w:tcPr>
          <w:p/>
        </w:tc>
        <w:tc>
          <w:tcPr>
            <w:vMerge w:val="continue"/>
          </w:tcPr>
          <w:p/>
        </w:tc>
        <w:tc>
          <w:tcPr>
            <w:tcW w:w="736" w:type="dxa"/>
          </w:tcPr>
          <w:p>
            <w:pPr>
              <w:pStyle w:val="0"/>
              <w:jc w:val="center"/>
            </w:pPr>
            <w:r>
              <w:rPr>
                <w:sz w:val="24"/>
              </w:rPr>
              <w:t xml:space="preserve">0 - 1</w:t>
            </w:r>
          </w:p>
        </w:tc>
        <w:tc>
          <w:tcPr>
            <w:tcW w:w="736" w:type="dxa"/>
          </w:tcPr>
          <w:p>
            <w:pPr>
              <w:pStyle w:val="0"/>
              <w:jc w:val="center"/>
            </w:pPr>
            <w:r>
              <w:rPr>
                <w:sz w:val="24"/>
              </w:rPr>
              <w:t xml:space="preserve">1 - 2</w:t>
            </w:r>
          </w:p>
        </w:tc>
        <w:tc>
          <w:tcPr>
            <w:tcW w:w="736" w:type="dxa"/>
          </w:tcPr>
          <w:p>
            <w:pPr>
              <w:pStyle w:val="0"/>
              <w:jc w:val="center"/>
            </w:pPr>
            <w:r>
              <w:rPr>
                <w:sz w:val="24"/>
              </w:rPr>
              <w:t xml:space="preserve">2 - 5</w:t>
            </w:r>
          </w:p>
        </w:tc>
        <w:tc>
          <w:tcPr>
            <w:tcW w:w="736" w:type="dxa"/>
          </w:tcPr>
          <w:p>
            <w:pPr>
              <w:pStyle w:val="0"/>
              <w:jc w:val="center"/>
            </w:pPr>
            <w:r>
              <w:rPr>
                <w:sz w:val="24"/>
              </w:rPr>
              <w:t xml:space="preserve">5 - 12,5</w:t>
            </w:r>
          </w:p>
        </w:tc>
        <w:tc>
          <w:tcPr>
            <w:tcW w:w="736" w:type="dxa"/>
          </w:tcPr>
          <w:p>
            <w:pPr>
              <w:pStyle w:val="0"/>
              <w:jc w:val="center"/>
            </w:pPr>
            <w:r>
              <w:rPr>
                <w:sz w:val="24"/>
              </w:rPr>
              <w:t xml:space="preserve">12,5 - 20</w:t>
            </w:r>
          </w:p>
        </w:tc>
        <w:tc>
          <w:tcPr>
            <w:tcW w:w="736" w:type="dxa"/>
          </w:tcPr>
          <w:p>
            <w:pPr>
              <w:pStyle w:val="0"/>
              <w:jc w:val="center"/>
            </w:pPr>
            <w:r>
              <w:rPr>
                <w:sz w:val="24"/>
              </w:rPr>
              <w:t xml:space="preserve">20 - 50</w:t>
            </w:r>
          </w:p>
        </w:tc>
        <w:tc>
          <w:tcPr>
            <w:tcW w:w="740" w:type="dxa"/>
          </w:tcPr>
          <w:p>
            <w:pPr>
              <w:pStyle w:val="0"/>
              <w:jc w:val="center"/>
            </w:pPr>
            <w:r>
              <w:rPr>
                <w:sz w:val="24"/>
              </w:rPr>
              <w:t xml:space="preserve">&gt; 50</w:t>
            </w:r>
          </w:p>
        </w:tc>
        <w:tc>
          <w:tcPr>
            <w:tcW w:w="1098" w:type="dxa"/>
          </w:tcPr>
          <w:p>
            <w:pPr>
              <w:pStyle w:val="0"/>
              <w:jc w:val="center"/>
            </w:pPr>
            <w:r>
              <w:rPr>
                <w:sz w:val="24"/>
              </w:rPr>
              <w:t xml:space="preserve">мЗв/год</w:t>
            </w:r>
          </w:p>
        </w:tc>
        <w:tc>
          <w:tcPr>
            <w:tcW w:w="1020" w:type="dxa"/>
          </w:tcPr>
          <w:p>
            <w:pPr>
              <w:pStyle w:val="0"/>
              <w:jc w:val="center"/>
            </w:pPr>
            <w:r>
              <w:rPr>
                <w:sz w:val="24"/>
              </w:rPr>
              <w:t xml:space="preserve">чел.-Зв/год</w:t>
            </w:r>
          </w:p>
        </w:tc>
      </w:tr>
      <w:tr>
        <w:tc>
          <w:tcPr>
            <w:tcW w:w="1031" w:type="dxa"/>
          </w:tcPr>
          <w:p>
            <w:pPr>
              <w:pStyle w:val="0"/>
              <w:jc w:val="center"/>
            </w:pPr>
            <w:r>
              <w:rPr>
                <w:sz w:val="24"/>
              </w:rPr>
              <w:t xml:space="preserve">Группа А</w:t>
            </w:r>
          </w:p>
        </w:tc>
        <w:tc>
          <w:tcPr>
            <w:tcW w:w="743" w:type="dxa"/>
          </w:tcPr>
          <w:p>
            <w:pPr>
              <w:pStyle w:val="0"/>
            </w:pPr>
            <w:r>
              <w:rPr>
                <w:sz w:val="24"/>
              </w:rPr>
            </w:r>
          </w:p>
        </w:tc>
        <w:tc>
          <w:tcPr>
            <w:tcW w:w="736" w:type="dxa"/>
          </w:tcPr>
          <w:p>
            <w:pPr>
              <w:pStyle w:val="0"/>
            </w:pPr>
            <w:r>
              <w:rPr>
                <w:sz w:val="24"/>
              </w:rPr>
            </w:r>
          </w:p>
        </w:tc>
        <w:tc>
          <w:tcPr>
            <w:tcW w:w="736" w:type="dxa"/>
          </w:tcPr>
          <w:p>
            <w:pPr>
              <w:pStyle w:val="0"/>
            </w:pPr>
            <w:r>
              <w:rPr>
                <w:sz w:val="24"/>
              </w:rPr>
            </w:r>
          </w:p>
        </w:tc>
        <w:tc>
          <w:tcPr>
            <w:tcW w:w="736" w:type="dxa"/>
          </w:tcPr>
          <w:p>
            <w:pPr>
              <w:pStyle w:val="0"/>
            </w:pPr>
            <w:r>
              <w:rPr>
                <w:sz w:val="24"/>
              </w:rPr>
            </w:r>
          </w:p>
        </w:tc>
        <w:tc>
          <w:tcPr>
            <w:tcW w:w="736" w:type="dxa"/>
          </w:tcPr>
          <w:p>
            <w:pPr>
              <w:pStyle w:val="0"/>
            </w:pPr>
            <w:r>
              <w:rPr>
                <w:sz w:val="24"/>
              </w:rPr>
            </w:r>
          </w:p>
        </w:tc>
        <w:tc>
          <w:tcPr>
            <w:tcW w:w="736" w:type="dxa"/>
          </w:tcPr>
          <w:p>
            <w:pPr>
              <w:pStyle w:val="0"/>
            </w:pPr>
            <w:r>
              <w:rPr>
                <w:sz w:val="24"/>
              </w:rPr>
            </w:r>
          </w:p>
        </w:tc>
        <w:tc>
          <w:tcPr>
            <w:tcW w:w="736" w:type="dxa"/>
          </w:tcPr>
          <w:p>
            <w:pPr>
              <w:pStyle w:val="0"/>
            </w:pPr>
            <w:r>
              <w:rPr>
                <w:sz w:val="24"/>
              </w:rPr>
            </w:r>
          </w:p>
        </w:tc>
        <w:tc>
          <w:tcPr>
            <w:tcW w:w="740" w:type="dxa"/>
          </w:tcPr>
          <w:p>
            <w:pPr>
              <w:pStyle w:val="0"/>
            </w:pPr>
            <w:r>
              <w:rPr>
                <w:sz w:val="24"/>
              </w:rPr>
            </w:r>
          </w:p>
        </w:tc>
        <w:tc>
          <w:tcPr>
            <w:tcW w:w="1098" w:type="dxa"/>
          </w:tcPr>
          <w:p>
            <w:pPr>
              <w:pStyle w:val="0"/>
            </w:pPr>
            <w:r>
              <w:rPr>
                <w:sz w:val="24"/>
              </w:rPr>
            </w:r>
          </w:p>
        </w:tc>
        <w:tc>
          <w:tcPr>
            <w:tcW w:w="1020" w:type="dxa"/>
          </w:tcPr>
          <w:p>
            <w:pPr>
              <w:pStyle w:val="0"/>
            </w:pPr>
            <w:r>
              <w:rPr>
                <w:sz w:val="24"/>
              </w:rPr>
            </w:r>
          </w:p>
        </w:tc>
      </w:tr>
      <w:tr>
        <w:tc>
          <w:tcPr>
            <w:tcW w:w="1031" w:type="dxa"/>
          </w:tcPr>
          <w:p>
            <w:pPr>
              <w:pStyle w:val="0"/>
              <w:jc w:val="center"/>
            </w:pPr>
            <w:r>
              <w:rPr>
                <w:sz w:val="24"/>
              </w:rPr>
              <w:t xml:space="preserve">Группа Б</w:t>
            </w:r>
          </w:p>
        </w:tc>
        <w:tc>
          <w:tcPr>
            <w:tcW w:w="743" w:type="dxa"/>
          </w:tcPr>
          <w:p>
            <w:pPr>
              <w:pStyle w:val="0"/>
            </w:pPr>
            <w:r>
              <w:rPr>
                <w:sz w:val="24"/>
              </w:rPr>
            </w:r>
          </w:p>
        </w:tc>
        <w:tc>
          <w:tcPr>
            <w:tcW w:w="736" w:type="dxa"/>
          </w:tcPr>
          <w:p>
            <w:pPr>
              <w:pStyle w:val="0"/>
            </w:pPr>
            <w:r>
              <w:rPr>
                <w:sz w:val="24"/>
              </w:rPr>
            </w:r>
          </w:p>
        </w:tc>
        <w:tc>
          <w:tcPr>
            <w:tcW w:w="736" w:type="dxa"/>
          </w:tcPr>
          <w:p>
            <w:pPr>
              <w:pStyle w:val="0"/>
            </w:pPr>
            <w:r>
              <w:rPr>
                <w:sz w:val="24"/>
              </w:rPr>
            </w:r>
          </w:p>
        </w:tc>
        <w:tc>
          <w:tcPr>
            <w:tcW w:w="736" w:type="dxa"/>
          </w:tcPr>
          <w:p>
            <w:pPr>
              <w:pStyle w:val="0"/>
            </w:pPr>
            <w:r>
              <w:rPr>
                <w:sz w:val="24"/>
              </w:rPr>
            </w:r>
          </w:p>
        </w:tc>
        <w:tc>
          <w:tcPr>
            <w:tcW w:w="736" w:type="dxa"/>
          </w:tcPr>
          <w:p>
            <w:pPr>
              <w:pStyle w:val="0"/>
            </w:pPr>
            <w:r>
              <w:rPr>
                <w:sz w:val="24"/>
              </w:rPr>
            </w:r>
          </w:p>
        </w:tc>
        <w:tc>
          <w:tcPr>
            <w:tcW w:w="736" w:type="dxa"/>
          </w:tcPr>
          <w:p>
            <w:pPr>
              <w:pStyle w:val="0"/>
            </w:pPr>
            <w:r>
              <w:rPr>
                <w:sz w:val="24"/>
              </w:rPr>
            </w:r>
          </w:p>
        </w:tc>
        <w:tc>
          <w:tcPr>
            <w:tcW w:w="736" w:type="dxa"/>
          </w:tcPr>
          <w:p>
            <w:pPr>
              <w:pStyle w:val="0"/>
            </w:pPr>
            <w:r>
              <w:rPr>
                <w:sz w:val="24"/>
              </w:rPr>
            </w:r>
          </w:p>
        </w:tc>
        <w:tc>
          <w:tcPr>
            <w:tcW w:w="740" w:type="dxa"/>
          </w:tcPr>
          <w:p>
            <w:pPr>
              <w:pStyle w:val="0"/>
            </w:pPr>
            <w:r>
              <w:rPr>
                <w:sz w:val="24"/>
              </w:rPr>
            </w:r>
          </w:p>
        </w:tc>
        <w:tc>
          <w:tcPr>
            <w:tcW w:w="1098" w:type="dxa"/>
          </w:tcPr>
          <w:p>
            <w:pPr>
              <w:pStyle w:val="0"/>
            </w:pPr>
            <w:r>
              <w:rPr>
                <w:sz w:val="24"/>
              </w:rPr>
            </w:r>
          </w:p>
        </w:tc>
        <w:tc>
          <w:tcPr>
            <w:tcW w:w="1020" w:type="dxa"/>
          </w:tcPr>
          <w:p>
            <w:pPr>
              <w:pStyle w:val="0"/>
            </w:pPr>
            <w:r>
              <w:rPr>
                <w:sz w:val="24"/>
              </w:rPr>
            </w:r>
          </w:p>
        </w:tc>
      </w:tr>
      <w:tr>
        <w:tc>
          <w:tcPr>
            <w:tcW w:w="1031" w:type="dxa"/>
          </w:tcPr>
          <w:p>
            <w:pPr>
              <w:pStyle w:val="0"/>
              <w:jc w:val="center"/>
            </w:pPr>
            <w:r>
              <w:rPr>
                <w:sz w:val="24"/>
              </w:rPr>
              <w:t xml:space="preserve">Всего</w:t>
            </w:r>
          </w:p>
        </w:tc>
        <w:tc>
          <w:tcPr>
            <w:tcW w:w="743" w:type="dxa"/>
          </w:tcPr>
          <w:p>
            <w:pPr>
              <w:pStyle w:val="0"/>
            </w:pPr>
            <w:r>
              <w:rPr>
                <w:sz w:val="24"/>
              </w:rPr>
            </w:r>
          </w:p>
        </w:tc>
        <w:tc>
          <w:tcPr>
            <w:tcW w:w="736" w:type="dxa"/>
          </w:tcPr>
          <w:p>
            <w:pPr>
              <w:pStyle w:val="0"/>
            </w:pPr>
            <w:r>
              <w:rPr>
                <w:sz w:val="24"/>
              </w:rPr>
            </w:r>
          </w:p>
        </w:tc>
        <w:tc>
          <w:tcPr>
            <w:tcW w:w="736" w:type="dxa"/>
          </w:tcPr>
          <w:p>
            <w:pPr>
              <w:pStyle w:val="0"/>
            </w:pPr>
            <w:r>
              <w:rPr>
                <w:sz w:val="24"/>
              </w:rPr>
            </w:r>
          </w:p>
        </w:tc>
        <w:tc>
          <w:tcPr>
            <w:tcW w:w="736" w:type="dxa"/>
          </w:tcPr>
          <w:p>
            <w:pPr>
              <w:pStyle w:val="0"/>
            </w:pPr>
            <w:r>
              <w:rPr>
                <w:sz w:val="24"/>
              </w:rPr>
            </w:r>
          </w:p>
        </w:tc>
        <w:tc>
          <w:tcPr>
            <w:tcW w:w="736" w:type="dxa"/>
          </w:tcPr>
          <w:p>
            <w:pPr>
              <w:pStyle w:val="0"/>
            </w:pPr>
            <w:r>
              <w:rPr>
                <w:sz w:val="24"/>
              </w:rPr>
            </w:r>
          </w:p>
        </w:tc>
        <w:tc>
          <w:tcPr>
            <w:tcW w:w="736" w:type="dxa"/>
          </w:tcPr>
          <w:p>
            <w:pPr>
              <w:pStyle w:val="0"/>
            </w:pPr>
            <w:r>
              <w:rPr>
                <w:sz w:val="24"/>
              </w:rPr>
            </w:r>
          </w:p>
        </w:tc>
        <w:tc>
          <w:tcPr>
            <w:tcW w:w="736" w:type="dxa"/>
          </w:tcPr>
          <w:p>
            <w:pPr>
              <w:pStyle w:val="0"/>
            </w:pPr>
            <w:r>
              <w:rPr>
                <w:sz w:val="24"/>
              </w:rPr>
            </w:r>
          </w:p>
        </w:tc>
        <w:tc>
          <w:tcPr>
            <w:tcW w:w="740" w:type="dxa"/>
          </w:tcPr>
          <w:p>
            <w:pPr>
              <w:pStyle w:val="0"/>
            </w:pPr>
            <w:r>
              <w:rPr>
                <w:sz w:val="24"/>
              </w:rPr>
            </w:r>
          </w:p>
        </w:tc>
        <w:tc>
          <w:tcPr>
            <w:tcW w:w="1098" w:type="dxa"/>
          </w:tcPr>
          <w:p>
            <w:pPr>
              <w:pStyle w:val="0"/>
            </w:pPr>
            <w:r>
              <w:rPr>
                <w:sz w:val="24"/>
              </w:rPr>
            </w:r>
          </w:p>
        </w:tc>
        <w:tc>
          <w:tcPr>
            <w:tcW w:w="1020" w:type="dxa"/>
          </w:tcPr>
          <w:p>
            <w:pPr>
              <w:pStyle w:val="0"/>
            </w:pPr>
            <w:r>
              <w:rPr>
                <w:sz w:val="24"/>
              </w:rPr>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9071"/>
      </w:tblGrid>
      <w:tr>
        <w:tc>
          <w:tcPr>
            <w:tcW w:w="9071" w:type="dxa"/>
            <w:tcBorders>
              <w:top w:val="nil"/>
              <w:left w:val="nil"/>
              <w:bottom w:val="nil"/>
              <w:right w:val="nil"/>
            </w:tcBorders>
          </w:tcPr>
          <w:bookmarkStart w:id="1912" w:name="P1912"/>
          <w:bookmarkEnd w:id="1912"/>
          <w:p>
            <w:pPr>
              <w:pStyle w:val="0"/>
              <w:outlineLvl w:val="2"/>
            </w:pPr>
            <w:r>
              <w:rPr>
                <w:sz w:val="24"/>
              </w:rPr>
              <w:t xml:space="preserve">6.2. Техногенное облучение населения</w:t>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9071"/>
      </w:tblGrid>
      <w:tr>
        <w:tc>
          <w:tcPr>
            <w:tcW w:w="9071" w:type="dxa"/>
            <w:tcBorders>
              <w:top w:val="nil"/>
              <w:left w:val="nil"/>
              <w:bottom w:val="nil"/>
              <w:right w:val="nil"/>
            </w:tcBorders>
          </w:tcPr>
          <w:p>
            <w:pPr>
              <w:pStyle w:val="0"/>
              <w:outlineLvl w:val="3"/>
              <w:jc w:val="both"/>
            </w:pPr>
            <w:r>
              <w:rPr>
                <w:sz w:val="24"/>
              </w:rPr>
              <w:t xml:space="preserve">6.2.1. Численность и годовые эффективные дозы населения, проживающего в зонах наблюдения</w:t>
            </w:r>
          </w:p>
        </w:tc>
      </w:tr>
    </w:tbl>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813"/>
        <w:gridCol w:w="1813"/>
        <w:gridCol w:w="1813"/>
        <w:gridCol w:w="1813"/>
        <w:gridCol w:w="1814"/>
      </w:tblGrid>
      <w:tr>
        <w:tc>
          <w:tcPr>
            <w:tcW w:w="1813" w:type="dxa"/>
            <w:vMerge w:val="restart"/>
          </w:tcPr>
          <w:p>
            <w:pPr>
              <w:pStyle w:val="0"/>
              <w:jc w:val="center"/>
            </w:pPr>
            <w:r>
              <w:rPr>
                <w:sz w:val="24"/>
              </w:rPr>
              <w:t xml:space="preserve">Численность населения зон наблюдения</w:t>
            </w:r>
          </w:p>
        </w:tc>
        <w:tc>
          <w:tcPr>
            <w:tcW w:w="1813" w:type="dxa"/>
            <w:vMerge w:val="restart"/>
          </w:tcPr>
          <w:p>
            <w:pPr>
              <w:pStyle w:val="0"/>
              <w:jc w:val="center"/>
            </w:pPr>
            <w:r>
              <w:rPr>
                <w:sz w:val="24"/>
              </w:rPr>
              <w:t xml:space="preserve">Средняя индивидуальная доза</w:t>
            </w:r>
          </w:p>
        </w:tc>
        <w:tc>
          <w:tcPr>
            <w:tcW w:w="1813" w:type="dxa"/>
            <w:vMerge w:val="restart"/>
          </w:tcPr>
          <w:p>
            <w:pPr>
              <w:pStyle w:val="0"/>
              <w:jc w:val="center"/>
            </w:pPr>
            <w:r>
              <w:rPr>
                <w:sz w:val="24"/>
              </w:rPr>
              <w:t xml:space="preserve">Коллективная доза</w:t>
            </w:r>
          </w:p>
        </w:tc>
        <w:tc>
          <w:tcPr>
            <w:gridSpan w:val="2"/>
            <w:tcW w:w="3627" w:type="dxa"/>
          </w:tcPr>
          <w:p>
            <w:pPr>
              <w:pStyle w:val="0"/>
              <w:jc w:val="center"/>
            </w:pPr>
            <w:r>
              <w:rPr>
                <w:sz w:val="24"/>
              </w:rPr>
              <w:t xml:space="preserve">Число лиц, для которых превышены:</w:t>
            </w:r>
          </w:p>
        </w:tc>
      </w:tr>
      <w:tr>
        <w:tc>
          <w:tcPr>
            <w:vMerge w:val="continue"/>
          </w:tcPr>
          <w:p/>
        </w:tc>
        <w:tc>
          <w:tcPr>
            <w:vMerge w:val="continue"/>
          </w:tcPr>
          <w:p/>
        </w:tc>
        <w:tc>
          <w:tcPr>
            <w:vMerge w:val="continue"/>
          </w:tcPr>
          <w:p/>
        </w:tc>
        <w:tc>
          <w:tcPr>
            <w:tcW w:w="1813" w:type="dxa"/>
          </w:tcPr>
          <w:p>
            <w:pPr>
              <w:pStyle w:val="0"/>
              <w:jc w:val="center"/>
            </w:pPr>
            <w:r>
              <w:rPr>
                <w:sz w:val="24"/>
              </w:rPr>
              <w:t xml:space="preserve">годовая доза 1 мЗв</w:t>
            </w:r>
          </w:p>
        </w:tc>
        <w:tc>
          <w:tcPr>
            <w:tcW w:w="1814" w:type="dxa"/>
          </w:tcPr>
          <w:p>
            <w:pPr>
              <w:pStyle w:val="0"/>
              <w:jc w:val="center"/>
            </w:pPr>
            <w:r>
              <w:rPr>
                <w:sz w:val="24"/>
              </w:rPr>
              <w:t xml:space="preserve">дозовые квоты</w:t>
            </w:r>
          </w:p>
        </w:tc>
      </w:tr>
      <w:tr>
        <w:tc>
          <w:tcPr>
            <w:tcW w:w="1813" w:type="dxa"/>
          </w:tcPr>
          <w:p>
            <w:pPr>
              <w:pStyle w:val="0"/>
              <w:jc w:val="center"/>
            </w:pPr>
            <w:r>
              <w:rPr>
                <w:sz w:val="24"/>
              </w:rPr>
              <w:t xml:space="preserve">тыс. чел.</w:t>
            </w:r>
          </w:p>
        </w:tc>
        <w:tc>
          <w:tcPr>
            <w:tcW w:w="1813" w:type="dxa"/>
          </w:tcPr>
          <w:p>
            <w:pPr>
              <w:pStyle w:val="0"/>
              <w:jc w:val="center"/>
            </w:pPr>
            <w:r>
              <w:rPr>
                <w:sz w:val="24"/>
              </w:rPr>
              <w:t xml:space="preserve">мЗв/год</w:t>
            </w:r>
          </w:p>
        </w:tc>
        <w:tc>
          <w:tcPr>
            <w:tcW w:w="1813" w:type="dxa"/>
          </w:tcPr>
          <w:p>
            <w:pPr>
              <w:pStyle w:val="0"/>
              <w:jc w:val="center"/>
            </w:pPr>
            <w:r>
              <w:rPr>
                <w:sz w:val="24"/>
              </w:rPr>
              <w:t xml:space="preserve">чел.-Зв/год</w:t>
            </w:r>
          </w:p>
        </w:tc>
        <w:tc>
          <w:tcPr>
            <w:tcW w:w="1813" w:type="dxa"/>
          </w:tcPr>
          <w:p>
            <w:pPr>
              <w:pStyle w:val="0"/>
              <w:jc w:val="center"/>
            </w:pPr>
            <w:r>
              <w:rPr>
                <w:sz w:val="24"/>
              </w:rPr>
              <w:t xml:space="preserve">чел.</w:t>
            </w:r>
          </w:p>
        </w:tc>
        <w:tc>
          <w:tcPr>
            <w:tcW w:w="1814" w:type="dxa"/>
          </w:tcPr>
          <w:p>
            <w:pPr>
              <w:pStyle w:val="0"/>
              <w:jc w:val="center"/>
            </w:pPr>
            <w:r>
              <w:rPr>
                <w:sz w:val="24"/>
              </w:rPr>
              <w:t xml:space="preserve">чел.</w:t>
            </w:r>
          </w:p>
        </w:tc>
      </w:tr>
      <w:tr>
        <w:tc>
          <w:tcPr>
            <w:tcW w:w="1813" w:type="dxa"/>
          </w:tcPr>
          <w:p>
            <w:pPr>
              <w:pStyle w:val="0"/>
            </w:pPr>
            <w:r>
              <w:rPr>
                <w:sz w:val="24"/>
              </w:rPr>
            </w:r>
          </w:p>
        </w:tc>
        <w:tc>
          <w:tcPr>
            <w:tcW w:w="1813" w:type="dxa"/>
          </w:tcPr>
          <w:p>
            <w:pPr>
              <w:pStyle w:val="0"/>
            </w:pPr>
            <w:r>
              <w:rPr>
                <w:sz w:val="24"/>
              </w:rPr>
            </w:r>
          </w:p>
        </w:tc>
        <w:tc>
          <w:tcPr>
            <w:tcW w:w="1813" w:type="dxa"/>
          </w:tcPr>
          <w:p>
            <w:pPr>
              <w:pStyle w:val="0"/>
            </w:pPr>
            <w:r>
              <w:rPr>
                <w:sz w:val="24"/>
              </w:rPr>
            </w:r>
          </w:p>
        </w:tc>
        <w:tc>
          <w:tcPr>
            <w:tcW w:w="1813" w:type="dxa"/>
          </w:tcPr>
          <w:p>
            <w:pPr>
              <w:pStyle w:val="0"/>
            </w:pPr>
            <w:r>
              <w:rPr>
                <w:sz w:val="24"/>
              </w:rPr>
            </w:r>
          </w:p>
        </w:tc>
        <w:tc>
          <w:tcPr>
            <w:tcW w:w="1814" w:type="dxa"/>
          </w:tcPr>
          <w:p>
            <w:pPr>
              <w:pStyle w:val="0"/>
            </w:pPr>
            <w:r>
              <w:rPr>
                <w:sz w:val="24"/>
              </w:rPr>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9071"/>
      </w:tblGrid>
      <w:tr>
        <w:tc>
          <w:tcPr>
            <w:tcW w:w="9071" w:type="dxa"/>
            <w:tcBorders>
              <w:top w:val="nil"/>
              <w:left w:val="nil"/>
              <w:bottom w:val="nil"/>
              <w:right w:val="nil"/>
            </w:tcBorders>
          </w:tcPr>
          <w:p>
            <w:pPr>
              <w:pStyle w:val="0"/>
              <w:outlineLvl w:val="3"/>
              <w:jc w:val="both"/>
            </w:pPr>
            <w:r>
              <w:rPr>
                <w:sz w:val="24"/>
              </w:rPr>
              <w:t xml:space="preserve">6.2.2. Численность и годовые эффективные дозы техногенного облучения населения, проживающего на территориях, подвергшихся радиоактивному загрязнению в результате радиационных аварий прошлых лет или предшествующей деятельности</w:t>
            </w:r>
          </w:p>
        </w:tc>
      </w:tr>
    </w:tbl>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3345"/>
        <w:gridCol w:w="1899"/>
        <w:gridCol w:w="1899"/>
        <w:gridCol w:w="1900"/>
      </w:tblGrid>
      <w:tr>
        <w:tc>
          <w:tcPr>
            <w:tcW w:w="3345" w:type="dxa"/>
          </w:tcPr>
          <w:bookmarkStart w:id="1935" w:name="P1935"/>
          <w:bookmarkEnd w:id="1935"/>
          <w:p>
            <w:pPr>
              <w:pStyle w:val="0"/>
              <w:jc w:val="center"/>
            </w:pPr>
            <w:r>
              <w:rPr>
                <w:sz w:val="24"/>
              </w:rPr>
              <w:t xml:space="preserve">Плотность загрязнения почвы </w:t>
            </w:r>
            <w:r>
              <w:rPr>
                <w:sz w:val="24"/>
                <w:vertAlign w:val="superscript"/>
              </w:rPr>
              <w:t xml:space="preserve">137</w:t>
            </w:r>
            <w:r>
              <w:rPr>
                <w:sz w:val="24"/>
              </w:rPr>
              <w:t xml:space="preserve">Cs кБк/м</w:t>
            </w:r>
            <w:r>
              <w:rPr>
                <w:sz w:val="24"/>
                <w:vertAlign w:val="superscript"/>
              </w:rPr>
              <w:t xml:space="preserve">2</w:t>
            </w:r>
            <w:r>
              <w:rPr>
                <w:sz w:val="24"/>
              </w:rPr>
              <w:t xml:space="preserve"> (Ки/км</w:t>
            </w:r>
            <w:r>
              <w:rPr>
                <w:sz w:val="24"/>
                <w:vertAlign w:val="superscript"/>
              </w:rPr>
              <w:t xml:space="preserve">2</w:t>
            </w:r>
            <w:r>
              <w:rPr>
                <w:sz w:val="24"/>
              </w:rPr>
              <w:t xml:space="preserve">)</w:t>
            </w:r>
          </w:p>
        </w:tc>
        <w:tc>
          <w:tcPr>
            <w:tcW w:w="1899" w:type="dxa"/>
          </w:tcPr>
          <w:p>
            <w:pPr>
              <w:pStyle w:val="0"/>
              <w:jc w:val="center"/>
            </w:pPr>
            <w:r>
              <w:rPr>
                <w:sz w:val="24"/>
              </w:rPr>
              <w:t xml:space="preserve">Численность населения тыс. чел.</w:t>
            </w:r>
          </w:p>
        </w:tc>
        <w:tc>
          <w:tcPr>
            <w:tcW w:w="1899" w:type="dxa"/>
          </w:tcPr>
          <w:p>
            <w:pPr>
              <w:pStyle w:val="0"/>
              <w:jc w:val="center"/>
            </w:pPr>
            <w:r>
              <w:rPr>
                <w:sz w:val="24"/>
              </w:rPr>
              <w:t xml:space="preserve">Средняя индивидуальная доза, мЗв/год</w:t>
            </w:r>
          </w:p>
        </w:tc>
        <w:tc>
          <w:tcPr>
            <w:tcW w:w="1900" w:type="dxa"/>
          </w:tcPr>
          <w:p>
            <w:pPr>
              <w:pStyle w:val="0"/>
              <w:jc w:val="center"/>
            </w:pPr>
            <w:r>
              <w:rPr>
                <w:sz w:val="24"/>
              </w:rPr>
              <w:t xml:space="preserve">Коллективная доза чел.-Зв/год</w:t>
            </w:r>
          </w:p>
        </w:tc>
      </w:tr>
      <w:tr>
        <w:tc>
          <w:tcPr>
            <w:tcW w:w="3345" w:type="dxa"/>
          </w:tcPr>
          <w:p>
            <w:pPr>
              <w:pStyle w:val="0"/>
              <w:jc w:val="center"/>
            </w:pPr>
            <w:r>
              <w:rPr>
                <w:sz w:val="24"/>
              </w:rPr>
              <w:t xml:space="preserve">37 </w:t>
            </w:r>
            <w:r>
              <w:drawing>
                <wp:inline distT="0" distB="0" distL="0" distR="0">
                  <wp:extent cx="148590" cy="14859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6">
                            <a:extLst>
                              <a:ext uri="{28A0092B-C50C-407E-A947-70E740481C1C}">
                                <a14:useLocalDpi xmlns:a14="http://schemas.microsoft.com/office/drawing/2010/main" val="0"/>
                              </a:ext>
                            </a:extLst>
                          </a:blip>
                          <a:srcRect/>
                          <a:stretch>
                            <a:fillRect/>
                          </a:stretch>
                        </pic:blipFill>
                        <pic:spPr bwMode="auto">
                          <a:xfrm>
                            <a:off x="0" y="0"/>
                            <a:ext cx="148590" cy="148590"/>
                          </a:xfrm>
                          <a:prstGeom prst="rect">
                            <a:avLst/>
                          </a:prstGeom>
                          <a:noFill/>
                          <a:ln>
                            <a:noFill/>
                          </a:ln>
                        </pic:spPr>
                      </pic:pic>
                    </a:graphicData>
                  </a:graphic>
                </wp:inline>
              </w:drawing>
            </w:r>
            <w:r>
              <w:rPr>
                <w:sz w:val="24"/>
              </w:rPr>
              <w:t xml:space="preserve"> 185 (1 </w:t>
            </w:r>
            <w:r>
              <w:drawing>
                <wp:inline distT="0" distB="0" distL="0" distR="0">
                  <wp:extent cx="148590" cy="14859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6">
                            <a:extLst>
                              <a:ext uri="{28A0092B-C50C-407E-A947-70E740481C1C}">
                                <a14:useLocalDpi xmlns:a14="http://schemas.microsoft.com/office/drawing/2010/main" val="0"/>
                              </a:ext>
                            </a:extLst>
                          </a:blip>
                          <a:srcRect/>
                          <a:stretch>
                            <a:fillRect/>
                          </a:stretch>
                        </pic:blipFill>
                        <pic:spPr bwMode="auto">
                          <a:xfrm>
                            <a:off x="0" y="0"/>
                            <a:ext cx="148590" cy="148590"/>
                          </a:xfrm>
                          <a:prstGeom prst="rect">
                            <a:avLst/>
                          </a:prstGeom>
                          <a:noFill/>
                          <a:ln>
                            <a:noFill/>
                          </a:ln>
                        </pic:spPr>
                      </pic:pic>
                    </a:graphicData>
                  </a:graphic>
                </wp:inline>
              </w:drawing>
            </w:r>
            <w:r>
              <w:rPr>
                <w:sz w:val="24"/>
              </w:rPr>
              <w:t xml:space="preserve"> 5)</w:t>
            </w:r>
          </w:p>
        </w:tc>
        <w:tc>
          <w:tcPr>
            <w:tcW w:w="1899" w:type="dxa"/>
          </w:tcPr>
          <w:p>
            <w:pPr>
              <w:pStyle w:val="0"/>
            </w:pPr>
            <w:r>
              <w:rPr>
                <w:sz w:val="24"/>
              </w:rPr>
            </w:r>
          </w:p>
        </w:tc>
        <w:tc>
          <w:tcPr>
            <w:tcW w:w="1899" w:type="dxa"/>
          </w:tcPr>
          <w:p>
            <w:pPr>
              <w:pStyle w:val="0"/>
            </w:pPr>
            <w:r>
              <w:rPr>
                <w:sz w:val="24"/>
              </w:rPr>
            </w:r>
          </w:p>
        </w:tc>
        <w:tc>
          <w:tcPr>
            <w:tcW w:w="1900" w:type="dxa"/>
          </w:tcPr>
          <w:p>
            <w:pPr>
              <w:pStyle w:val="0"/>
            </w:pPr>
            <w:r>
              <w:rPr>
                <w:sz w:val="24"/>
              </w:rPr>
            </w:r>
          </w:p>
        </w:tc>
      </w:tr>
      <w:tr>
        <w:tc>
          <w:tcPr>
            <w:tcW w:w="3345" w:type="dxa"/>
          </w:tcPr>
          <w:p>
            <w:pPr>
              <w:pStyle w:val="0"/>
              <w:jc w:val="center"/>
            </w:pPr>
            <w:r>
              <w:rPr>
                <w:sz w:val="24"/>
              </w:rPr>
              <w:t xml:space="preserve">185 </w:t>
            </w:r>
            <w:r>
              <w:drawing>
                <wp:inline distT="0" distB="0" distL="0" distR="0">
                  <wp:extent cx="148590" cy="14859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6">
                            <a:extLst>
                              <a:ext uri="{28A0092B-C50C-407E-A947-70E740481C1C}">
                                <a14:useLocalDpi xmlns:a14="http://schemas.microsoft.com/office/drawing/2010/main" val="0"/>
                              </a:ext>
                            </a:extLst>
                          </a:blip>
                          <a:srcRect/>
                          <a:stretch>
                            <a:fillRect/>
                          </a:stretch>
                        </pic:blipFill>
                        <pic:spPr bwMode="auto">
                          <a:xfrm>
                            <a:off x="0" y="0"/>
                            <a:ext cx="148590" cy="148590"/>
                          </a:xfrm>
                          <a:prstGeom prst="rect">
                            <a:avLst/>
                          </a:prstGeom>
                          <a:noFill/>
                          <a:ln>
                            <a:noFill/>
                          </a:ln>
                        </pic:spPr>
                      </pic:pic>
                    </a:graphicData>
                  </a:graphic>
                </wp:inline>
              </w:drawing>
            </w:r>
            <w:r>
              <w:rPr>
                <w:sz w:val="24"/>
              </w:rPr>
              <w:t xml:space="preserve"> 555 (5 </w:t>
            </w:r>
            <w:r>
              <w:drawing>
                <wp:inline distT="0" distB="0" distL="0" distR="0">
                  <wp:extent cx="148590" cy="14859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6">
                            <a:extLst>
                              <a:ext uri="{28A0092B-C50C-407E-A947-70E740481C1C}">
                                <a14:useLocalDpi xmlns:a14="http://schemas.microsoft.com/office/drawing/2010/main" val="0"/>
                              </a:ext>
                            </a:extLst>
                          </a:blip>
                          <a:srcRect/>
                          <a:stretch>
                            <a:fillRect/>
                          </a:stretch>
                        </pic:blipFill>
                        <pic:spPr bwMode="auto">
                          <a:xfrm>
                            <a:off x="0" y="0"/>
                            <a:ext cx="148590" cy="148590"/>
                          </a:xfrm>
                          <a:prstGeom prst="rect">
                            <a:avLst/>
                          </a:prstGeom>
                          <a:noFill/>
                          <a:ln>
                            <a:noFill/>
                          </a:ln>
                        </pic:spPr>
                      </pic:pic>
                    </a:graphicData>
                  </a:graphic>
                </wp:inline>
              </w:drawing>
            </w:r>
            <w:r>
              <w:rPr>
                <w:sz w:val="24"/>
              </w:rPr>
              <w:t xml:space="preserve"> 15)</w:t>
            </w:r>
          </w:p>
        </w:tc>
        <w:tc>
          <w:tcPr>
            <w:tcW w:w="1899" w:type="dxa"/>
          </w:tcPr>
          <w:p>
            <w:pPr>
              <w:pStyle w:val="0"/>
            </w:pPr>
            <w:r>
              <w:rPr>
                <w:sz w:val="24"/>
              </w:rPr>
            </w:r>
          </w:p>
        </w:tc>
        <w:tc>
          <w:tcPr>
            <w:tcW w:w="1899" w:type="dxa"/>
          </w:tcPr>
          <w:p>
            <w:pPr>
              <w:pStyle w:val="0"/>
            </w:pPr>
            <w:r>
              <w:rPr>
                <w:sz w:val="24"/>
              </w:rPr>
            </w:r>
          </w:p>
        </w:tc>
        <w:tc>
          <w:tcPr>
            <w:tcW w:w="1900" w:type="dxa"/>
          </w:tcPr>
          <w:p>
            <w:pPr>
              <w:pStyle w:val="0"/>
            </w:pPr>
            <w:r>
              <w:rPr>
                <w:sz w:val="24"/>
              </w:rPr>
            </w:r>
          </w:p>
        </w:tc>
      </w:tr>
      <w:tr>
        <w:tc>
          <w:tcPr>
            <w:tcW w:w="3345" w:type="dxa"/>
          </w:tcPr>
          <w:p>
            <w:pPr>
              <w:pStyle w:val="0"/>
              <w:jc w:val="center"/>
            </w:pPr>
            <w:r>
              <w:rPr>
                <w:sz w:val="24"/>
              </w:rPr>
              <w:t xml:space="preserve">555 </w:t>
            </w:r>
            <w:r>
              <w:drawing>
                <wp:inline distT="0" distB="0" distL="0" distR="0">
                  <wp:extent cx="148590" cy="14859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6">
                            <a:extLst>
                              <a:ext uri="{28A0092B-C50C-407E-A947-70E740481C1C}">
                                <a14:useLocalDpi xmlns:a14="http://schemas.microsoft.com/office/drawing/2010/main" val="0"/>
                              </a:ext>
                            </a:extLst>
                          </a:blip>
                          <a:srcRect/>
                          <a:stretch>
                            <a:fillRect/>
                          </a:stretch>
                        </pic:blipFill>
                        <pic:spPr bwMode="auto">
                          <a:xfrm>
                            <a:off x="0" y="0"/>
                            <a:ext cx="148590" cy="148590"/>
                          </a:xfrm>
                          <a:prstGeom prst="rect">
                            <a:avLst/>
                          </a:prstGeom>
                          <a:noFill/>
                          <a:ln>
                            <a:noFill/>
                          </a:ln>
                        </pic:spPr>
                      </pic:pic>
                    </a:graphicData>
                  </a:graphic>
                </wp:inline>
              </w:drawing>
            </w:r>
            <w:r>
              <w:rPr>
                <w:sz w:val="24"/>
              </w:rPr>
              <w:t xml:space="preserve"> 1480 (15 </w:t>
            </w:r>
            <w:r>
              <w:drawing>
                <wp:inline distT="0" distB="0" distL="0" distR="0">
                  <wp:extent cx="148590" cy="14859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6">
                            <a:extLst>
                              <a:ext uri="{28A0092B-C50C-407E-A947-70E740481C1C}">
                                <a14:useLocalDpi xmlns:a14="http://schemas.microsoft.com/office/drawing/2010/main" val="0"/>
                              </a:ext>
                            </a:extLst>
                          </a:blip>
                          <a:srcRect/>
                          <a:stretch>
                            <a:fillRect/>
                          </a:stretch>
                        </pic:blipFill>
                        <pic:spPr bwMode="auto">
                          <a:xfrm>
                            <a:off x="0" y="0"/>
                            <a:ext cx="148590" cy="148590"/>
                          </a:xfrm>
                          <a:prstGeom prst="rect">
                            <a:avLst/>
                          </a:prstGeom>
                          <a:noFill/>
                          <a:ln>
                            <a:noFill/>
                          </a:ln>
                        </pic:spPr>
                      </pic:pic>
                    </a:graphicData>
                  </a:graphic>
                </wp:inline>
              </w:drawing>
            </w:r>
            <w:r>
              <w:rPr>
                <w:sz w:val="24"/>
              </w:rPr>
              <w:t xml:space="preserve"> 40)</w:t>
            </w:r>
          </w:p>
        </w:tc>
        <w:tc>
          <w:tcPr>
            <w:tcW w:w="1899" w:type="dxa"/>
          </w:tcPr>
          <w:p>
            <w:pPr>
              <w:pStyle w:val="0"/>
            </w:pPr>
            <w:r>
              <w:rPr>
                <w:sz w:val="24"/>
              </w:rPr>
            </w:r>
          </w:p>
        </w:tc>
        <w:tc>
          <w:tcPr>
            <w:tcW w:w="1899" w:type="dxa"/>
          </w:tcPr>
          <w:p>
            <w:pPr>
              <w:pStyle w:val="0"/>
            </w:pPr>
            <w:r>
              <w:rPr>
                <w:sz w:val="24"/>
              </w:rPr>
            </w:r>
          </w:p>
        </w:tc>
        <w:tc>
          <w:tcPr>
            <w:tcW w:w="1900" w:type="dxa"/>
          </w:tcPr>
          <w:p>
            <w:pPr>
              <w:pStyle w:val="0"/>
            </w:pPr>
            <w:r>
              <w:rPr>
                <w:sz w:val="24"/>
              </w:rPr>
            </w:r>
          </w:p>
        </w:tc>
      </w:tr>
      <w:tr>
        <w:tc>
          <w:tcPr>
            <w:tcW w:w="3345" w:type="dxa"/>
          </w:tcPr>
          <w:p>
            <w:pPr>
              <w:pStyle w:val="0"/>
              <w:jc w:val="center"/>
            </w:pPr>
            <w:r>
              <w:rPr>
                <w:sz w:val="24"/>
              </w:rPr>
              <w:t xml:space="preserve">&gt; 1480 (&gt; 40)</w:t>
            </w:r>
          </w:p>
        </w:tc>
        <w:tc>
          <w:tcPr>
            <w:tcW w:w="1899" w:type="dxa"/>
          </w:tcPr>
          <w:p>
            <w:pPr>
              <w:pStyle w:val="0"/>
            </w:pPr>
            <w:r>
              <w:rPr>
                <w:sz w:val="24"/>
              </w:rPr>
            </w:r>
          </w:p>
        </w:tc>
        <w:tc>
          <w:tcPr>
            <w:tcW w:w="1899" w:type="dxa"/>
          </w:tcPr>
          <w:p>
            <w:pPr>
              <w:pStyle w:val="0"/>
            </w:pPr>
            <w:r>
              <w:rPr>
                <w:sz w:val="24"/>
              </w:rPr>
            </w:r>
          </w:p>
        </w:tc>
        <w:tc>
          <w:tcPr>
            <w:tcW w:w="1900" w:type="dxa"/>
          </w:tcPr>
          <w:p>
            <w:pPr>
              <w:pStyle w:val="0"/>
            </w:pPr>
            <w:r>
              <w:rPr>
                <w:sz w:val="24"/>
              </w:rPr>
            </w:r>
          </w:p>
        </w:tc>
      </w:tr>
      <w:tr>
        <w:tc>
          <w:tcPr>
            <w:tcW w:w="3345" w:type="dxa"/>
          </w:tcPr>
          <w:p>
            <w:pPr>
              <w:pStyle w:val="0"/>
              <w:jc w:val="center"/>
            </w:pPr>
            <w:r>
              <w:rPr>
                <w:sz w:val="24"/>
              </w:rPr>
              <w:t xml:space="preserve">ВСЕГО</w:t>
            </w:r>
          </w:p>
        </w:tc>
        <w:tc>
          <w:tcPr>
            <w:tcW w:w="1899" w:type="dxa"/>
          </w:tcPr>
          <w:p>
            <w:pPr>
              <w:pStyle w:val="0"/>
            </w:pPr>
            <w:r>
              <w:rPr>
                <w:sz w:val="24"/>
              </w:rPr>
            </w:r>
          </w:p>
        </w:tc>
        <w:tc>
          <w:tcPr>
            <w:tcW w:w="1899" w:type="dxa"/>
          </w:tcPr>
          <w:p>
            <w:pPr>
              <w:pStyle w:val="0"/>
            </w:pPr>
            <w:r>
              <w:rPr>
                <w:sz w:val="24"/>
              </w:rPr>
            </w:r>
          </w:p>
        </w:tc>
        <w:tc>
          <w:tcPr>
            <w:tcW w:w="1900" w:type="dxa"/>
          </w:tcPr>
          <w:p>
            <w:pPr>
              <w:pStyle w:val="0"/>
            </w:pPr>
            <w:r>
              <w:rPr>
                <w:sz w:val="24"/>
              </w:rPr>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9071"/>
      </w:tblGrid>
      <w:tr>
        <w:tc>
          <w:tcPr>
            <w:tcW w:w="9071" w:type="dxa"/>
            <w:tcBorders>
              <w:top w:val="nil"/>
              <w:left w:val="nil"/>
              <w:bottom w:val="nil"/>
              <w:right w:val="nil"/>
            </w:tcBorders>
          </w:tcPr>
          <w:p>
            <w:pPr>
              <w:pStyle w:val="0"/>
              <w:outlineLvl w:val="2"/>
              <w:jc w:val="both"/>
            </w:pPr>
            <w:r>
              <w:rPr>
                <w:sz w:val="24"/>
              </w:rPr>
              <w:t xml:space="preserve">6.3. Структура годовой эффективной дозы облучения населения (чел.-Зв)</w:t>
            </w:r>
          </w:p>
        </w:tc>
      </w:tr>
    </w:tbl>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6576"/>
        <w:gridCol w:w="864"/>
        <w:gridCol w:w="583"/>
        <w:gridCol w:w="1008"/>
      </w:tblGrid>
      <w:tr>
        <w:tc>
          <w:tcPr>
            <w:tcW w:w="6576" w:type="dxa"/>
            <w:vMerge w:val="restart"/>
          </w:tcPr>
          <w:bookmarkStart w:id="1962" w:name="P1962"/>
          <w:bookmarkEnd w:id="1962"/>
          <w:p>
            <w:pPr>
              <w:pStyle w:val="0"/>
              <w:jc w:val="center"/>
            </w:pPr>
            <w:r>
              <w:rPr>
                <w:sz w:val="24"/>
              </w:rPr>
              <w:t xml:space="preserve">Облучения населения территории за счет</w:t>
            </w:r>
          </w:p>
        </w:tc>
        <w:tc>
          <w:tcPr>
            <w:gridSpan w:val="2"/>
            <w:tcW w:w="1447" w:type="dxa"/>
          </w:tcPr>
          <w:p>
            <w:pPr>
              <w:pStyle w:val="0"/>
              <w:jc w:val="center"/>
            </w:pPr>
            <w:r>
              <w:rPr>
                <w:sz w:val="24"/>
              </w:rPr>
              <w:t xml:space="preserve">Коллективная доза</w:t>
            </w:r>
          </w:p>
        </w:tc>
        <w:tc>
          <w:tcPr>
            <w:tcW w:w="1008" w:type="dxa"/>
          </w:tcPr>
          <w:p>
            <w:pPr>
              <w:pStyle w:val="0"/>
              <w:jc w:val="center"/>
            </w:pPr>
            <w:r>
              <w:rPr>
                <w:sz w:val="24"/>
              </w:rPr>
              <w:t xml:space="preserve">Средняя на жителя</w:t>
            </w:r>
          </w:p>
        </w:tc>
      </w:tr>
      <w:tr>
        <w:tc>
          <w:tcPr>
            <w:vMerge w:val="continue"/>
          </w:tcPr>
          <w:p/>
        </w:tc>
        <w:tc>
          <w:tcPr>
            <w:tcW w:w="864" w:type="dxa"/>
          </w:tcPr>
          <w:p>
            <w:pPr>
              <w:pStyle w:val="0"/>
              <w:jc w:val="center"/>
            </w:pPr>
            <w:r>
              <w:rPr>
                <w:sz w:val="24"/>
              </w:rPr>
              <w:t xml:space="preserve">чел.-Зв</w:t>
            </w:r>
          </w:p>
        </w:tc>
        <w:tc>
          <w:tcPr>
            <w:tcW w:w="583" w:type="dxa"/>
          </w:tcPr>
          <w:p>
            <w:pPr>
              <w:pStyle w:val="0"/>
              <w:jc w:val="center"/>
            </w:pPr>
            <w:r>
              <w:rPr>
                <w:sz w:val="24"/>
              </w:rPr>
              <w:t xml:space="preserve">%</w:t>
            </w:r>
          </w:p>
        </w:tc>
        <w:tc>
          <w:tcPr>
            <w:tcW w:w="1008" w:type="dxa"/>
          </w:tcPr>
          <w:p>
            <w:pPr>
              <w:pStyle w:val="0"/>
              <w:jc w:val="center"/>
            </w:pPr>
            <w:r>
              <w:rPr>
                <w:sz w:val="24"/>
              </w:rPr>
              <w:t xml:space="preserve">мЗв/чел.</w:t>
            </w:r>
          </w:p>
        </w:tc>
      </w:tr>
      <w:tr>
        <w:tc>
          <w:tcPr>
            <w:tcW w:w="6576" w:type="dxa"/>
          </w:tcPr>
          <w:bookmarkStart w:id="1968" w:name="P1968"/>
          <w:bookmarkEnd w:id="1968"/>
          <w:p>
            <w:pPr>
              <w:pStyle w:val="0"/>
            </w:pPr>
            <w:r>
              <w:rPr>
                <w:sz w:val="24"/>
              </w:rPr>
              <w:t xml:space="preserve">а) обращения с техногенными источниками ионизирующего излучения, в том числе:</w:t>
            </w:r>
          </w:p>
        </w:tc>
        <w:tc>
          <w:tcPr>
            <w:tcW w:w="864" w:type="dxa"/>
          </w:tcPr>
          <w:p>
            <w:pPr>
              <w:pStyle w:val="0"/>
            </w:pPr>
            <w:r>
              <w:rPr>
                <w:sz w:val="24"/>
              </w:rPr>
            </w:r>
          </w:p>
        </w:tc>
        <w:tc>
          <w:tcPr>
            <w:tcW w:w="583" w:type="dxa"/>
          </w:tcPr>
          <w:p>
            <w:pPr>
              <w:pStyle w:val="0"/>
            </w:pPr>
            <w:r>
              <w:rPr>
                <w:sz w:val="24"/>
              </w:rPr>
            </w:r>
          </w:p>
        </w:tc>
        <w:tc>
          <w:tcPr>
            <w:tcW w:w="1008" w:type="dxa"/>
          </w:tcPr>
          <w:p>
            <w:pPr>
              <w:pStyle w:val="0"/>
            </w:pPr>
            <w:r>
              <w:rPr>
                <w:sz w:val="24"/>
              </w:rPr>
            </w:r>
          </w:p>
        </w:tc>
      </w:tr>
      <w:tr>
        <w:tc>
          <w:tcPr>
            <w:tcW w:w="6576" w:type="dxa"/>
          </w:tcPr>
          <w:p>
            <w:pPr>
              <w:pStyle w:val="0"/>
            </w:pPr>
            <w:r>
              <w:rPr>
                <w:sz w:val="24"/>
              </w:rPr>
              <w:t xml:space="preserve">- персонала</w:t>
            </w:r>
          </w:p>
        </w:tc>
        <w:tc>
          <w:tcPr>
            <w:tcW w:w="864" w:type="dxa"/>
          </w:tcPr>
          <w:p>
            <w:pPr>
              <w:pStyle w:val="0"/>
            </w:pPr>
            <w:r>
              <w:rPr>
                <w:sz w:val="24"/>
              </w:rPr>
            </w:r>
          </w:p>
        </w:tc>
        <w:tc>
          <w:tcPr>
            <w:tcW w:w="583" w:type="dxa"/>
          </w:tcPr>
          <w:p>
            <w:pPr>
              <w:pStyle w:val="0"/>
            </w:pPr>
            <w:r>
              <w:rPr>
                <w:sz w:val="24"/>
              </w:rPr>
            </w:r>
          </w:p>
        </w:tc>
        <w:tc>
          <w:tcPr>
            <w:tcW w:w="1008" w:type="dxa"/>
          </w:tcPr>
          <w:p>
            <w:pPr>
              <w:pStyle w:val="0"/>
            </w:pPr>
            <w:r>
              <w:rPr>
                <w:sz w:val="24"/>
              </w:rPr>
            </w:r>
          </w:p>
        </w:tc>
      </w:tr>
      <w:tr>
        <w:tc>
          <w:tcPr>
            <w:tcW w:w="6576" w:type="dxa"/>
          </w:tcPr>
          <w:p>
            <w:pPr>
              <w:pStyle w:val="0"/>
            </w:pPr>
            <w:r>
              <w:rPr>
                <w:sz w:val="24"/>
              </w:rPr>
              <w:t xml:space="preserve">- населения, проживающего в зонах наблюдения</w:t>
            </w:r>
          </w:p>
        </w:tc>
        <w:tc>
          <w:tcPr>
            <w:tcW w:w="864" w:type="dxa"/>
          </w:tcPr>
          <w:p>
            <w:pPr>
              <w:pStyle w:val="0"/>
            </w:pPr>
            <w:r>
              <w:rPr>
                <w:sz w:val="24"/>
              </w:rPr>
            </w:r>
          </w:p>
        </w:tc>
        <w:tc>
          <w:tcPr>
            <w:tcW w:w="583" w:type="dxa"/>
          </w:tcPr>
          <w:p>
            <w:pPr>
              <w:pStyle w:val="0"/>
            </w:pPr>
            <w:r>
              <w:rPr>
                <w:sz w:val="24"/>
              </w:rPr>
            </w:r>
          </w:p>
        </w:tc>
        <w:tc>
          <w:tcPr>
            <w:tcW w:w="1008" w:type="dxa"/>
          </w:tcPr>
          <w:p>
            <w:pPr>
              <w:pStyle w:val="0"/>
            </w:pPr>
            <w:r>
              <w:rPr>
                <w:sz w:val="24"/>
              </w:rPr>
            </w:r>
          </w:p>
        </w:tc>
      </w:tr>
      <w:tr>
        <w:tc>
          <w:tcPr>
            <w:tcW w:w="6576" w:type="dxa"/>
          </w:tcPr>
          <w:bookmarkStart w:id="1980" w:name="P1980"/>
          <w:bookmarkEnd w:id="1980"/>
          <w:p>
            <w:pPr>
              <w:pStyle w:val="0"/>
            </w:pPr>
            <w:r>
              <w:rPr>
                <w:sz w:val="24"/>
              </w:rPr>
              <w:t xml:space="preserve">б) техногенного фона, в том числе:</w:t>
            </w:r>
          </w:p>
        </w:tc>
        <w:tc>
          <w:tcPr>
            <w:tcW w:w="864" w:type="dxa"/>
          </w:tcPr>
          <w:p>
            <w:pPr>
              <w:pStyle w:val="0"/>
            </w:pPr>
            <w:r>
              <w:rPr>
                <w:sz w:val="24"/>
              </w:rPr>
            </w:r>
          </w:p>
        </w:tc>
        <w:tc>
          <w:tcPr>
            <w:tcW w:w="583" w:type="dxa"/>
          </w:tcPr>
          <w:p>
            <w:pPr>
              <w:pStyle w:val="0"/>
            </w:pPr>
            <w:r>
              <w:rPr>
                <w:sz w:val="24"/>
              </w:rPr>
            </w:r>
          </w:p>
        </w:tc>
        <w:tc>
          <w:tcPr>
            <w:tcW w:w="1008" w:type="dxa"/>
          </w:tcPr>
          <w:p>
            <w:pPr>
              <w:pStyle w:val="0"/>
            </w:pPr>
            <w:r>
              <w:rPr>
                <w:sz w:val="24"/>
              </w:rPr>
            </w:r>
          </w:p>
        </w:tc>
      </w:tr>
      <w:tr>
        <w:tc>
          <w:tcPr>
            <w:tcW w:w="6576" w:type="dxa"/>
          </w:tcPr>
          <w:p>
            <w:pPr>
              <w:pStyle w:val="0"/>
            </w:pPr>
            <w:r>
              <w:rPr>
                <w:sz w:val="24"/>
              </w:rPr>
              <w:t xml:space="preserve">- за счет глобальных выпадений</w:t>
            </w:r>
          </w:p>
        </w:tc>
        <w:tc>
          <w:tcPr>
            <w:tcW w:w="864" w:type="dxa"/>
          </w:tcPr>
          <w:p>
            <w:pPr>
              <w:pStyle w:val="0"/>
            </w:pPr>
            <w:r>
              <w:rPr>
                <w:sz w:val="24"/>
              </w:rPr>
            </w:r>
          </w:p>
        </w:tc>
        <w:tc>
          <w:tcPr>
            <w:tcW w:w="583" w:type="dxa"/>
          </w:tcPr>
          <w:p>
            <w:pPr>
              <w:pStyle w:val="0"/>
            </w:pPr>
            <w:r>
              <w:rPr>
                <w:sz w:val="24"/>
              </w:rPr>
            </w:r>
          </w:p>
        </w:tc>
        <w:tc>
          <w:tcPr>
            <w:tcW w:w="1008" w:type="dxa"/>
          </w:tcPr>
          <w:p>
            <w:pPr>
              <w:pStyle w:val="0"/>
              <w:jc w:val="center"/>
            </w:pPr>
            <w:r>
              <w:rPr>
                <w:sz w:val="24"/>
              </w:rPr>
              <w:t xml:space="preserve">0,005</w:t>
            </w:r>
          </w:p>
        </w:tc>
      </w:tr>
      <w:tr>
        <w:tc>
          <w:tcPr>
            <w:tcW w:w="6576" w:type="dxa"/>
          </w:tcPr>
          <w:p>
            <w:pPr>
              <w:pStyle w:val="0"/>
            </w:pPr>
            <w:r>
              <w:rPr>
                <w:sz w:val="24"/>
              </w:rPr>
              <w:t xml:space="preserve">- за счет радиационных аварий прошлых лет</w:t>
            </w:r>
          </w:p>
        </w:tc>
        <w:tc>
          <w:tcPr>
            <w:tcW w:w="864" w:type="dxa"/>
          </w:tcPr>
          <w:p>
            <w:pPr>
              <w:pStyle w:val="0"/>
            </w:pPr>
            <w:r>
              <w:rPr>
                <w:sz w:val="24"/>
              </w:rPr>
            </w:r>
          </w:p>
        </w:tc>
        <w:tc>
          <w:tcPr>
            <w:tcW w:w="583" w:type="dxa"/>
          </w:tcPr>
          <w:p>
            <w:pPr>
              <w:pStyle w:val="0"/>
            </w:pPr>
            <w:r>
              <w:rPr>
                <w:sz w:val="24"/>
              </w:rPr>
            </w:r>
          </w:p>
        </w:tc>
        <w:tc>
          <w:tcPr>
            <w:tcW w:w="1008" w:type="dxa"/>
          </w:tcPr>
          <w:p>
            <w:pPr>
              <w:pStyle w:val="0"/>
            </w:pPr>
            <w:r>
              <w:rPr>
                <w:sz w:val="24"/>
              </w:rPr>
            </w:r>
          </w:p>
        </w:tc>
      </w:tr>
      <w:tr>
        <w:tc>
          <w:tcPr>
            <w:tcW w:w="6576" w:type="dxa"/>
          </w:tcPr>
          <w:bookmarkStart w:id="1992" w:name="P1992"/>
          <w:bookmarkEnd w:id="1992"/>
          <w:p>
            <w:pPr>
              <w:pStyle w:val="0"/>
            </w:pPr>
            <w:r>
              <w:rPr>
                <w:sz w:val="24"/>
              </w:rPr>
              <w:t xml:space="preserve">в) природных источников, в том числе:</w:t>
            </w:r>
          </w:p>
        </w:tc>
        <w:tc>
          <w:tcPr>
            <w:tcW w:w="864" w:type="dxa"/>
          </w:tcPr>
          <w:p>
            <w:pPr>
              <w:pStyle w:val="0"/>
            </w:pPr>
            <w:r>
              <w:rPr>
                <w:sz w:val="24"/>
              </w:rPr>
            </w:r>
          </w:p>
        </w:tc>
        <w:tc>
          <w:tcPr>
            <w:tcW w:w="583" w:type="dxa"/>
          </w:tcPr>
          <w:p>
            <w:pPr>
              <w:pStyle w:val="0"/>
            </w:pPr>
            <w:r>
              <w:rPr>
                <w:sz w:val="24"/>
              </w:rPr>
            </w:r>
          </w:p>
        </w:tc>
        <w:tc>
          <w:tcPr>
            <w:tcW w:w="1008" w:type="dxa"/>
          </w:tcPr>
          <w:p>
            <w:pPr>
              <w:pStyle w:val="0"/>
            </w:pPr>
            <w:r>
              <w:rPr>
                <w:sz w:val="24"/>
              </w:rPr>
            </w:r>
          </w:p>
        </w:tc>
      </w:tr>
      <w:tr>
        <w:tc>
          <w:tcPr>
            <w:tcW w:w="6576" w:type="dxa"/>
          </w:tcPr>
          <w:p>
            <w:pPr>
              <w:pStyle w:val="0"/>
            </w:pPr>
            <w:r>
              <w:rPr>
                <w:sz w:val="24"/>
              </w:rPr>
              <w:t xml:space="preserve">- от радона</w:t>
            </w:r>
          </w:p>
        </w:tc>
        <w:tc>
          <w:tcPr>
            <w:tcW w:w="864" w:type="dxa"/>
          </w:tcPr>
          <w:p>
            <w:pPr>
              <w:pStyle w:val="0"/>
            </w:pPr>
            <w:r>
              <w:rPr>
                <w:sz w:val="24"/>
              </w:rPr>
            </w:r>
          </w:p>
        </w:tc>
        <w:tc>
          <w:tcPr>
            <w:tcW w:w="583" w:type="dxa"/>
          </w:tcPr>
          <w:p>
            <w:pPr>
              <w:pStyle w:val="0"/>
            </w:pPr>
            <w:r>
              <w:rPr>
                <w:sz w:val="24"/>
              </w:rPr>
            </w:r>
          </w:p>
        </w:tc>
        <w:tc>
          <w:tcPr>
            <w:tcW w:w="1008" w:type="dxa"/>
          </w:tcPr>
          <w:p>
            <w:pPr>
              <w:pStyle w:val="0"/>
            </w:pPr>
            <w:r>
              <w:rPr>
                <w:sz w:val="24"/>
              </w:rPr>
            </w:r>
          </w:p>
        </w:tc>
      </w:tr>
      <w:tr>
        <w:tc>
          <w:tcPr>
            <w:tcW w:w="6576" w:type="dxa"/>
          </w:tcPr>
          <w:p>
            <w:pPr>
              <w:pStyle w:val="0"/>
            </w:pPr>
            <w:r>
              <w:rPr>
                <w:sz w:val="24"/>
              </w:rPr>
              <w:t xml:space="preserve">- от внешнего гамма-излучения</w:t>
            </w:r>
          </w:p>
        </w:tc>
        <w:tc>
          <w:tcPr>
            <w:tcW w:w="864" w:type="dxa"/>
          </w:tcPr>
          <w:p>
            <w:pPr>
              <w:pStyle w:val="0"/>
            </w:pPr>
            <w:r>
              <w:rPr>
                <w:sz w:val="24"/>
              </w:rPr>
            </w:r>
          </w:p>
        </w:tc>
        <w:tc>
          <w:tcPr>
            <w:tcW w:w="583" w:type="dxa"/>
          </w:tcPr>
          <w:p>
            <w:pPr>
              <w:pStyle w:val="0"/>
            </w:pPr>
            <w:r>
              <w:rPr>
                <w:sz w:val="24"/>
              </w:rPr>
            </w:r>
          </w:p>
        </w:tc>
        <w:tc>
          <w:tcPr>
            <w:tcW w:w="1008" w:type="dxa"/>
          </w:tcPr>
          <w:p>
            <w:pPr>
              <w:pStyle w:val="0"/>
            </w:pPr>
            <w:r>
              <w:rPr>
                <w:sz w:val="24"/>
              </w:rPr>
            </w:r>
          </w:p>
        </w:tc>
      </w:tr>
      <w:tr>
        <w:tc>
          <w:tcPr>
            <w:tcW w:w="6576" w:type="dxa"/>
          </w:tcPr>
          <w:p>
            <w:pPr>
              <w:pStyle w:val="0"/>
            </w:pPr>
            <w:r>
              <w:rPr>
                <w:sz w:val="24"/>
              </w:rPr>
              <w:t xml:space="preserve">- от космического излучения</w:t>
            </w:r>
          </w:p>
        </w:tc>
        <w:tc>
          <w:tcPr>
            <w:tcW w:w="864" w:type="dxa"/>
          </w:tcPr>
          <w:p>
            <w:pPr>
              <w:pStyle w:val="0"/>
            </w:pPr>
            <w:r>
              <w:rPr>
                <w:sz w:val="24"/>
              </w:rPr>
            </w:r>
          </w:p>
        </w:tc>
        <w:tc>
          <w:tcPr>
            <w:tcW w:w="583" w:type="dxa"/>
          </w:tcPr>
          <w:p>
            <w:pPr>
              <w:pStyle w:val="0"/>
            </w:pPr>
            <w:r>
              <w:rPr>
                <w:sz w:val="24"/>
              </w:rPr>
            </w:r>
          </w:p>
        </w:tc>
        <w:tc>
          <w:tcPr>
            <w:tcW w:w="1008" w:type="dxa"/>
          </w:tcPr>
          <w:p>
            <w:pPr>
              <w:pStyle w:val="0"/>
              <w:jc w:val="center"/>
            </w:pPr>
            <w:r>
              <w:rPr>
                <w:sz w:val="24"/>
              </w:rPr>
              <w:t xml:space="preserve">0,4</w:t>
            </w:r>
          </w:p>
        </w:tc>
      </w:tr>
      <w:tr>
        <w:tc>
          <w:tcPr>
            <w:tcW w:w="6576" w:type="dxa"/>
          </w:tcPr>
          <w:p>
            <w:pPr>
              <w:pStyle w:val="0"/>
            </w:pPr>
            <w:r>
              <w:rPr>
                <w:sz w:val="24"/>
              </w:rPr>
              <w:t xml:space="preserve">- от пищи и питьевой воды</w:t>
            </w:r>
          </w:p>
        </w:tc>
        <w:tc>
          <w:tcPr>
            <w:tcW w:w="864" w:type="dxa"/>
          </w:tcPr>
          <w:p>
            <w:pPr>
              <w:pStyle w:val="0"/>
            </w:pPr>
            <w:r>
              <w:rPr>
                <w:sz w:val="24"/>
              </w:rPr>
            </w:r>
          </w:p>
        </w:tc>
        <w:tc>
          <w:tcPr>
            <w:tcW w:w="583" w:type="dxa"/>
          </w:tcPr>
          <w:p>
            <w:pPr>
              <w:pStyle w:val="0"/>
            </w:pPr>
            <w:r>
              <w:rPr>
                <w:sz w:val="24"/>
              </w:rPr>
            </w:r>
          </w:p>
        </w:tc>
        <w:tc>
          <w:tcPr>
            <w:tcW w:w="1008" w:type="dxa"/>
          </w:tcPr>
          <w:p>
            <w:pPr>
              <w:pStyle w:val="0"/>
              <w:jc w:val="center"/>
            </w:pPr>
            <w:r>
              <w:rPr>
                <w:sz w:val="24"/>
              </w:rPr>
              <w:t xml:space="preserve">(0,12) </w:t>
            </w:r>
            <w:hyperlink w:history="0" w:anchor="P2030" w:tooltip="&lt;*&gt; при отсутствие данных измерений за текущий год.">
              <w:r>
                <w:rPr>
                  <w:sz w:val="24"/>
                  <w:color w:val="0000ff"/>
                </w:rPr>
                <w:t xml:space="preserve">&lt;*&gt;</w:t>
              </w:r>
            </w:hyperlink>
          </w:p>
        </w:tc>
      </w:tr>
      <w:tr>
        <w:tc>
          <w:tcPr>
            <w:tcW w:w="6576" w:type="dxa"/>
          </w:tcPr>
          <w:p>
            <w:pPr>
              <w:pStyle w:val="0"/>
            </w:pPr>
            <w:r>
              <w:rPr>
                <w:sz w:val="24"/>
              </w:rPr>
              <w:t xml:space="preserve">- от содержащегося в организме </w:t>
            </w:r>
            <w:r>
              <w:rPr>
                <w:sz w:val="24"/>
                <w:vertAlign w:val="superscript"/>
              </w:rPr>
              <w:t xml:space="preserve">40</w:t>
            </w:r>
            <w:r>
              <w:rPr>
                <w:sz w:val="24"/>
              </w:rPr>
              <w:t xml:space="preserve">K</w:t>
            </w:r>
          </w:p>
        </w:tc>
        <w:tc>
          <w:tcPr>
            <w:tcW w:w="864" w:type="dxa"/>
          </w:tcPr>
          <w:p>
            <w:pPr>
              <w:pStyle w:val="0"/>
            </w:pPr>
            <w:r>
              <w:rPr>
                <w:sz w:val="24"/>
              </w:rPr>
            </w:r>
          </w:p>
        </w:tc>
        <w:tc>
          <w:tcPr>
            <w:tcW w:w="583" w:type="dxa"/>
          </w:tcPr>
          <w:p>
            <w:pPr>
              <w:pStyle w:val="0"/>
            </w:pPr>
            <w:r>
              <w:rPr>
                <w:sz w:val="24"/>
              </w:rPr>
            </w:r>
          </w:p>
        </w:tc>
        <w:tc>
          <w:tcPr>
            <w:tcW w:w="1008" w:type="dxa"/>
          </w:tcPr>
          <w:p>
            <w:pPr>
              <w:pStyle w:val="0"/>
              <w:jc w:val="center"/>
            </w:pPr>
            <w:r>
              <w:rPr>
                <w:sz w:val="24"/>
              </w:rPr>
              <w:t xml:space="preserve">0,17</w:t>
            </w:r>
          </w:p>
        </w:tc>
      </w:tr>
      <w:tr>
        <w:tc>
          <w:tcPr>
            <w:tcW w:w="6576" w:type="dxa"/>
          </w:tcPr>
          <w:bookmarkStart w:id="2016" w:name="P2016"/>
          <w:bookmarkEnd w:id="2016"/>
          <w:p>
            <w:pPr>
              <w:pStyle w:val="0"/>
            </w:pPr>
            <w:r>
              <w:rPr>
                <w:sz w:val="24"/>
              </w:rPr>
              <w:t xml:space="preserve">г) медицинских исследований</w:t>
            </w:r>
          </w:p>
        </w:tc>
        <w:tc>
          <w:tcPr>
            <w:tcW w:w="864" w:type="dxa"/>
          </w:tcPr>
          <w:p>
            <w:pPr>
              <w:pStyle w:val="0"/>
            </w:pPr>
            <w:r>
              <w:rPr>
                <w:sz w:val="24"/>
              </w:rPr>
            </w:r>
          </w:p>
        </w:tc>
        <w:tc>
          <w:tcPr>
            <w:tcW w:w="583" w:type="dxa"/>
          </w:tcPr>
          <w:p>
            <w:pPr>
              <w:pStyle w:val="0"/>
            </w:pPr>
            <w:r>
              <w:rPr>
                <w:sz w:val="24"/>
              </w:rPr>
            </w:r>
          </w:p>
        </w:tc>
        <w:tc>
          <w:tcPr>
            <w:tcW w:w="1008" w:type="dxa"/>
          </w:tcPr>
          <w:p>
            <w:pPr>
              <w:pStyle w:val="0"/>
            </w:pPr>
            <w:r>
              <w:rPr>
                <w:sz w:val="24"/>
              </w:rPr>
            </w:r>
          </w:p>
        </w:tc>
      </w:tr>
      <w:tr>
        <w:tc>
          <w:tcPr>
            <w:tcW w:w="6576" w:type="dxa"/>
          </w:tcPr>
          <w:bookmarkStart w:id="2020" w:name="P2020"/>
          <w:bookmarkEnd w:id="2020"/>
          <w:p>
            <w:pPr>
              <w:pStyle w:val="0"/>
            </w:pPr>
            <w:r>
              <w:rPr>
                <w:sz w:val="24"/>
              </w:rPr>
              <w:t xml:space="preserve">д) радиационных аварий и происшествий в отчетном году</w:t>
            </w:r>
          </w:p>
        </w:tc>
        <w:tc>
          <w:tcPr>
            <w:tcW w:w="864" w:type="dxa"/>
          </w:tcPr>
          <w:p>
            <w:pPr>
              <w:pStyle w:val="0"/>
            </w:pPr>
            <w:r>
              <w:rPr>
                <w:sz w:val="24"/>
              </w:rPr>
            </w:r>
          </w:p>
        </w:tc>
        <w:tc>
          <w:tcPr>
            <w:tcW w:w="583" w:type="dxa"/>
          </w:tcPr>
          <w:p>
            <w:pPr>
              <w:pStyle w:val="0"/>
            </w:pPr>
            <w:r>
              <w:rPr>
                <w:sz w:val="24"/>
              </w:rPr>
            </w:r>
          </w:p>
        </w:tc>
        <w:tc>
          <w:tcPr>
            <w:tcW w:w="1008" w:type="dxa"/>
          </w:tcPr>
          <w:p>
            <w:pPr>
              <w:pStyle w:val="0"/>
            </w:pPr>
            <w:r>
              <w:rPr>
                <w:sz w:val="24"/>
              </w:rPr>
            </w:r>
          </w:p>
        </w:tc>
      </w:tr>
      <w:tr>
        <w:tc>
          <w:tcPr>
            <w:tcW w:w="6576" w:type="dxa"/>
          </w:tcPr>
          <w:p>
            <w:pPr>
              <w:pStyle w:val="0"/>
              <w:jc w:val="center"/>
            </w:pPr>
            <w:r>
              <w:rPr>
                <w:sz w:val="24"/>
              </w:rPr>
              <w:t xml:space="preserve">СУММА:</w:t>
            </w:r>
          </w:p>
        </w:tc>
        <w:tc>
          <w:tcPr>
            <w:tcW w:w="864" w:type="dxa"/>
          </w:tcPr>
          <w:p>
            <w:pPr>
              <w:pStyle w:val="0"/>
            </w:pPr>
            <w:r>
              <w:rPr>
                <w:sz w:val="24"/>
              </w:rPr>
            </w:r>
          </w:p>
        </w:tc>
        <w:tc>
          <w:tcPr>
            <w:tcW w:w="583" w:type="dxa"/>
          </w:tcPr>
          <w:p>
            <w:pPr>
              <w:pStyle w:val="0"/>
            </w:pPr>
            <w:r>
              <w:rPr>
                <w:sz w:val="24"/>
              </w:rPr>
            </w:r>
          </w:p>
        </w:tc>
        <w:tc>
          <w:tcPr>
            <w:tcW w:w="1008" w:type="dxa"/>
          </w:tcPr>
          <w:p>
            <w:pPr>
              <w:pStyle w:val="0"/>
            </w:pPr>
            <w:r>
              <w:rPr>
                <w:sz w:val="24"/>
              </w:rPr>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9071"/>
      </w:tblGrid>
      <w:tr>
        <w:tc>
          <w:tcPr>
            <w:tcW w:w="9071" w:type="dxa"/>
            <w:tcBorders>
              <w:top w:val="nil"/>
              <w:left w:val="nil"/>
              <w:bottom w:val="nil"/>
              <w:right w:val="nil"/>
            </w:tcBorders>
          </w:tcPr>
          <w:p>
            <w:pPr>
              <w:pStyle w:val="0"/>
              <w:jc w:val="both"/>
            </w:pPr>
            <w:r>
              <w:rPr>
                <w:sz w:val="24"/>
              </w:rPr>
              <w:t xml:space="preserve">Примечание:</w:t>
            </w:r>
          </w:p>
          <w:bookmarkStart w:id="2030" w:name="P2030"/>
          <w:bookmarkEnd w:id="2030"/>
          <w:p>
            <w:pPr>
              <w:pStyle w:val="0"/>
              <w:jc w:val="both"/>
            </w:pPr>
            <w:r>
              <w:rPr>
                <w:sz w:val="24"/>
              </w:rPr>
              <w:t xml:space="preserve">&lt;*&gt; при отсутствие данных измерений за текущий год.</w:t>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9071"/>
      </w:tblGrid>
      <w:tr>
        <w:tc>
          <w:tcPr>
            <w:tcW w:w="9071" w:type="dxa"/>
            <w:tcBorders>
              <w:top w:val="nil"/>
              <w:left w:val="nil"/>
              <w:bottom w:val="nil"/>
              <w:right w:val="nil"/>
            </w:tcBorders>
          </w:tcPr>
          <w:p>
            <w:pPr>
              <w:pStyle w:val="0"/>
              <w:outlineLvl w:val="1"/>
              <w:jc w:val="both"/>
            </w:pPr>
            <w:r>
              <w:rPr>
                <w:sz w:val="24"/>
              </w:rPr>
              <w:t xml:space="preserve">7. Количество радиационных аварий и происшествий</w:t>
            </w:r>
          </w:p>
        </w:tc>
      </w:tr>
    </w:tbl>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751"/>
        <w:gridCol w:w="2163"/>
        <w:gridCol w:w="6123"/>
      </w:tblGrid>
      <w:tr>
        <w:tc>
          <w:tcPr>
            <w:tcW w:w="751" w:type="dxa"/>
          </w:tcPr>
          <w:bookmarkStart w:id="2034" w:name="P2034"/>
          <w:bookmarkEnd w:id="2034"/>
          <w:p>
            <w:pPr>
              <w:pStyle w:val="0"/>
              <w:jc w:val="center"/>
            </w:pPr>
            <w:r>
              <w:rPr>
                <w:sz w:val="24"/>
              </w:rPr>
              <w:t xml:space="preserve">Дата</w:t>
            </w:r>
          </w:p>
        </w:tc>
        <w:tc>
          <w:tcPr>
            <w:tcW w:w="2163" w:type="dxa"/>
          </w:tcPr>
          <w:p>
            <w:pPr>
              <w:pStyle w:val="0"/>
              <w:jc w:val="center"/>
            </w:pPr>
            <w:r>
              <w:rPr>
                <w:sz w:val="24"/>
              </w:rPr>
              <w:t xml:space="preserve">Наименование организации</w:t>
            </w:r>
          </w:p>
        </w:tc>
        <w:tc>
          <w:tcPr>
            <w:tcW w:w="6123" w:type="dxa"/>
          </w:tcPr>
          <w:p>
            <w:pPr>
              <w:pStyle w:val="0"/>
              <w:jc w:val="center"/>
            </w:pPr>
            <w:r>
              <w:rPr>
                <w:sz w:val="24"/>
              </w:rPr>
              <w:t xml:space="preserve">Краткое описание аварии (происшествия) с указанием наличия радиоактивного загрязнения местности, облучения людей, утраченного источника</w:t>
            </w:r>
          </w:p>
        </w:tc>
      </w:tr>
      <w:tr>
        <w:tc>
          <w:tcPr>
            <w:tcW w:w="751" w:type="dxa"/>
          </w:tcPr>
          <w:p>
            <w:pPr>
              <w:pStyle w:val="0"/>
            </w:pPr>
            <w:r>
              <w:rPr>
                <w:sz w:val="24"/>
              </w:rPr>
            </w:r>
          </w:p>
        </w:tc>
        <w:tc>
          <w:tcPr>
            <w:tcW w:w="2163" w:type="dxa"/>
          </w:tcPr>
          <w:p>
            <w:pPr>
              <w:pStyle w:val="0"/>
            </w:pPr>
            <w:r>
              <w:rPr>
                <w:sz w:val="24"/>
              </w:rPr>
            </w:r>
          </w:p>
        </w:tc>
        <w:tc>
          <w:tcPr>
            <w:tcW w:w="6123" w:type="dxa"/>
          </w:tcPr>
          <w:p>
            <w:pPr>
              <w:pStyle w:val="0"/>
            </w:pPr>
            <w:r>
              <w:rPr>
                <w:sz w:val="24"/>
              </w:rPr>
            </w:r>
          </w:p>
        </w:tc>
      </w:tr>
      <w:tr>
        <w:tc>
          <w:tcPr>
            <w:tcW w:w="751" w:type="dxa"/>
          </w:tcPr>
          <w:p>
            <w:pPr>
              <w:pStyle w:val="0"/>
            </w:pPr>
            <w:r>
              <w:rPr>
                <w:sz w:val="24"/>
              </w:rPr>
            </w:r>
          </w:p>
        </w:tc>
        <w:tc>
          <w:tcPr>
            <w:tcW w:w="2163" w:type="dxa"/>
          </w:tcPr>
          <w:p>
            <w:pPr>
              <w:pStyle w:val="0"/>
            </w:pPr>
            <w:r>
              <w:rPr>
                <w:sz w:val="24"/>
              </w:rPr>
            </w:r>
          </w:p>
        </w:tc>
        <w:tc>
          <w:tcPr>
            <w:tcW w:w="6123" w:type="dxa"/>
          </w:tcPr>
          <w:p>
            <w:pPr>
              <w:pStyle w:val="0"/>
            </w:pPr>
            <w:r>
              <w:rPr>
                <w:sz w:val="24"/>
              </w:rPr>
            </w:r>
          </w:p>
        </w:tc>
      </w:tr>
      <w:tr>
        <w:tc>
          <w:tcPr>
            <w:tcW w:w="751" w:type="dxa"/>
          </w:tcPr>
          <w:p>
            <w:pPr>
              <w:pStyle w:val="0"/>
            </w:pPr>
            <w:r>
              <w:rPr>
                <w:sz w:val="24"/>
              </w:rPr>
            </w:r>
          </w:p>
        </w:tc>
        <w:tc>
          <w:tcPr>
            <w:tcW w:w="2163" w:type="dxa"/>
          </w:tcPr>
          <w:p>
            <w:pPr>
              <w:pStyle w:val="0"/>
            </w:pPr>
            <w:r>
              <w:rPr>
                <w:sz w:val="24"/>
              </w:rPr>
            </w:r>
          </w:p>
        </w:tc>
        <w:tc>
          <w:tcPr>
            <w:tcW w:w="6123" w:type="dxa"/>
          </w:tcPr>
          <w:p>
            <w:pPr>
              <w:pStyle w:val="0"/>
            </w:pPr>
            <w:r>
              <w:rPr>
                <w:sz w:val="24"/>
              </w:rPr>
            </w:r>
          </w:p>
        </w:tc>
      </w:tr>
      <w:tr>
        <w:tc>
          <w:tcPr>
            <w:tcW w:w="751" w:type="dxa"/>
          </w:tcPr>
          <w:p>
            <w:pPr>
              <w:pStyle w:val="0"/>
            </w:pPr>
            <w:r>
              <w:rPr>
                <w:sz w:val="24"/>
              </w:rPr>
            </w:r>
          </w:p>
        </w:tc>
        <w:tc>
          <w:tcPr>
            <w:tcW w:w="2163" w:type="dxa"/>
          </w:tcPr>
          <w:p>
            <w:pPr>
              <w:pStyle w:val="0"/>
            </w:pPr>
            <w:r>
              <w:rPr>
                <w:sz w:val="24"/>
              </w:rPr>
            </w:r>
          </w:p>
        </w:tc>
        <w:tc>
          <w:tcPr>
            <w:tcW w:w="6123" w:type="dxa"/>
          </w:tcPr>
          <w:p>
            <w:pPr>
              <w:pStyle w:val="0"/>
            </w:pPr>
            <w:r>
              <w:rPr>
                <w:sz w:val="24"/>
              </w:rPr>
            </w:r>
          </w:p>
        </w:tc>
      </w:tr>
      <w:tr>
        <w:tc>
          <w:tcPr>
            <w:tcW w:w="751" w:type="dxa"/>
          </w:tcPr>
          <w:p>
            <w:pPr>
              <w:pStyle w:val="0"/>
            </w:pPr>
            <w:r>
              <w:rPr>
                <w:sz w:val="24"/>
              </w:rPr>
            </w:r>
          </w:p>
        </w:tc>
        <w:tc>
          <w:tcPr>
            <w:tcW w:w="2163" w:type="dxa"/>
          </w:tcPr>
          <w:p>
            <w:pPr>
              <w:pStyle w:val="0"/>
            </w:pPr>
            <w:r>
              <w:rPr>
                <w:sz w:val="24"/>
              </w:rPr>
            </w:r>
          </w:p>
        </w:tc>
        <w:tc>
          <w:tcPr>
            <w:tcW w:w="6123" w:type="dxa"/>
          </w:tcPr>
          <w:p>
            <w:pPr>
              <w:pStyle w:val="0"/>
            </w:pPr>
            <w:r>
              <w:rPr>
                <w:sz w:val="24"/>
              </w:rPr>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9071"/>
      </w:tblGrid>
      <w:tr>
        <w:tc>
          <w:tcPr>
            <w:tcW w:w="9071" w:type="dxa"/>
            <w:tcBorders>
              <w:top w:val="nil"/>
              <w:left w:val="nil"/>
              <w:bottom w:val="nil"/>
              <w:right w:val="nil"/>
            </w:tcBorders>
          </w:tcPr>
          <w:bookmarkStart w:id="2053" w:name="P2053"/>
          <w:bookmarkEnd w:id="2053"/>
          <w:p>
            <w:pPr>
              <w:pStyle w:val="0"/>
              <w:outlineLvl w:val="1"/>
              <w:jc w:val="both"/>
            </w:pPr>
            <w:r>
              <w:rPr>
                <w:sz w:val="24"/>
              </w:rPr>
              <w:t xml:space="preserve">8. Наличие случаев лучевой патологии</w:t>
            </w:r>
          </w:p>
        </w:tc>
      </w:tr>
    </w:tbl>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6009"/>
        <w:gridCol w:w="3027"/>
      </w:tblGrid>
      <w:tr>
        <w:tc>
          <w:tcPr>
            <w:tcW w:w="6009" w:type="dxa"/>
          </w:tcPr>
          <w:bookmarkStart w:id="2055" w:name="P2055"/>
          <w:bookmarkEnd w:id="2055"/>
          <w:p>
            <w:pPr>
              <w:pStyle w:val="0"/>
              <w:jc w:val="center"/>
            </w:pPr>
            <w:r>
              <w:rPr>
                <w:sz w:val="24"/>
              </w:rPr>
              <w:t xml:space="preserve">Диагноз</w:t>
            </w:r>
          </w:p>
        </w:tc>
        <w:tc>
          <w:tcPr>
            <w:tcW w:w="3027" w:type="dxa"/>
          </w:tcPr>
          <w:p>
            <w:pPr>
              <w:pStyle w:val="0"/>
            </w:pPr>
            <w:r>
              <w:rPr>
                <w:sz w:val="24"/>
              </w:rPr>
              <w:t xml:space="preserve">Число заболеваний за год</w:t>
            </w:r>
          </w:p>
        </w:tc>
      </w:tr>
      <w:tr>
        <w:tc>
          <w:tcPr>
            <w:tcW w:w="6009" w:type="dxa"/>
          </w:tcPr>
          <w:p>
            <w:pPr>
              <w:pStyle w:val="0"/>
            </w:pPr>
            <w:r>
              <w:rPr>
                <w:sz w:val="24"/>
              </w:rPr>
            </w:r>
          </w:p>
        </w:tc>
        <w:tc>
          <w:tcPr>
            <w:tcW w:w="3027" w:type="dxa"/>
          </w:tcPr>
          <w:p>
            <w:pPr>
              <w:pStyle w:val="0"/>
            </w:pPr>
            <w:r>
              <w:rPr>
                <w:sz w:val="24"/>
              </w:rPr>
            </w:r>
          </w:p>
        </w:tc>
      </w:tr>
      <w:tr>
        <w:tc>
          <w:tcPr>
            <w:tcW w:w="6009" w:type="dxa"/>
          </w:tcPr>
          <w:p>
            <w:pPr>
              <w:pStyle w:val="0"/>
            </w:pPr>
            <w:r>
              <w:rPr>
                <w:sz w:val="24"/>
              </w:rPr>
            </w:r>
          </w:p>
        </w:tc>
        <w:tc>
          <w:tcPr>
            <w:tcW w:w="3027" w:type="dxa"/>
          </w:tcPr>
          <w:p>
            <w:pPr>
              <w:pStyle w:val="0"/>
            </w:pPr>
            <w:r>
              <w:rPr>
                <w:sz w:val="24"/>
              </w:rPr>
            </w:r>
          </w:p>
        </w:tc>
      </w:tr>
      <w:tr>
        <w:tc>
          <w:tcPr>
            <w:tcW w:w="6009" w:type="dxa"/>
          </w:tcPr>
          <w:p>
            <w:pPr>
              <w:pStyle w:val="0"/>
            </w:pPr>
            <w:r>
              <w:rPr>
                <w:sz w:val="24"/>
              </w:rPr>
            </w:r>
          </w:p>
        </w:tc>
        <w:tc>
          <w:tcPr>
            <w:tcW w:w="3027" w:type="dxa"/>
          </w:tcPr>
          <w:p>
            <w:pPr>
              <w:pStyle w:val="0"/>
            </w:pPr>
            <w:r>
              <w:rPr>
                <w:sz w:val="24"/>
              </w:rPr>
            </w:r>
          </w:p>
        </w:tc>
      </w:tr>
      <w:tr>
        <w:tc>
          <w:tcPr>
            <w:tcW w:w="6009" w:type="dxa"/>
          </w:tcPr>
          <w:p>
            <w:pPr>
              <w:pStyle w:val="0"/>
            </w:pPr>
            <w:r>
              <w:rPr>
                <w:sz w:val="24"/>
              </w:rPr>
            </w:r>
          </w:p>
        </w:tc>
        <w:tc>
          <w:tcPr>
            <w:tcW w:w="3027" w:type="dxa"/>
          </w:tcPr>
          <w:p>
            <w:pPr>
              <w:pStyle w:val="0"/>
            </w:pPr>
            <w:r>
              <w:rPr>
                <w:sz w:val="24"/>
              </w:rPr>
            </w:r>
          </w:p>
        </w:tc>
      </w:tr>
      <w:tr>
        <w:tc>
          <w:tcPr>
            <w:tcW w:w="6009" w:type="dxa"/>
          </w:tcPr>
          <w:p>
            <w:pPr>
              <w:pStyle w:val="0"/>
            </w:pPr>
            <w:r>
              <w:rPr>
                <w:sz w:val="24"/>
              </w:rPr>
            </w:r>
          </w:p>
        </w:tc>
        <w:tc>
          <w:tcPr>
            <w:tcW w:w="3027" w:type="dxa"/>
          </w:tcPr>
          <w:p>
            <w:pPr>
              <w:pStyle w:val="0"/>
            </w:pPr>
            <w:r>
              <w:rPr>
                <w:sz w:val="24"/>
              </w:rPr>
            </w:r>
          </w:p>
        </w:tc>
      </w:tr>
      <w:tr>
        <w:tc>
          <w:tcPr>
            <w:tcW w:w="6009" w:type="dxa"/>
          </w:tcPr>
          <w:p>
            <w:pPr>
              <w:pStyle w:val="0"/>
            </w:pPr>
            <w:r>
              <w:rPr>
                <w:sz w:val="24"/>
              </w:rPr>
            </w:r>
          </w:p>
        </w:tc>
        <w:tc>
          <w:tcPr>
            <w:tcW w:w="3027" w:type="dxa"/>
          </w:tcPr>
          <w:p>
            <w:pPr>
              <w:pStyle w:val="0"/>
            </w:pPr>
            <w:r>
              <w:rPr>
                <w:sz w:val="24"/>
              </w:rPr>
            </w:r>
          </w:p>
        </w:tc>
      </w:tr>
      <w:tr>
        <w:tc>
          <w:tcPr>
            <w:tcW w:w="6009" w:type="dxa"/>
          </w:tcPr>
          <w:p>
            <w:pPr>
              <w:pStyle w:val="0"/>
              <w:jc w:val="center"/>
            </w:pPr>
            <w:r>
              <w:rPr>
                <w:sz w:val="24"/>
              </w:rPr>
              <w:t xml:space="preserve">ВСЕГО:</w:t>
            </w:r>
          </w:p>
        </w:tc>
        <w:tc>
          <w:tcPr>
            <w:tcW w:w="3027" w:type="dxa"/>
          </w:tcPr>
          <w:p>
            <w:pPr>
              <w:pStyle w:val="0"/>
            </w:pPr>
            <w:r>
              <w:rPr>
                <w:sz w:val="24"/>
              </w:rPr>
            </w:r>
          </w:p>
        </w:tc>
      </w:tr>
    </w:tbl>
    <w:p>
      <w:pPr>
        <w:pStyle w:val="0"/>
        <w:jc w:val="both"/>
      </w:pPr>
      <w:r>
        <w:rPr>
          <w:sz w:val="24"/>
        </w:rPr>
      </w:r>
    </w:p>
    <w:tbl>
      <w:tblPr>
        <w:tblInd w:w="0" w:type="dxa"/>
        <w:tblLayout w:type="fixed"/>
        <w:tblBorders>
          <w:bottom w:val="single" w:sz="4"/>
          <w:insideH w:val="single" w:sz="4"/>
        </w:tblBorders>
        <w:tblCellMar>
          <w:top w:w="102" w:type="dxa"/>
          <w:left w:w="62" w:type="dxa"/>
          <w:bottom w:w="102" w:type="dxa"/>
          <w:right w:w="62" w:type="dxa"/>
        </w:tblCellMar>
      </w:tblPr>
      <w:tblGrid>
        <w:gridCol w:w="9071"/>
      </w:tblGrid>
      <w:tr>
        <w:tblPrEx>
          <w:tblBorders>
            <w:insideH w:val="nil"/>
          </w:tblBorders>
        </w:tblPrEx>
        <w:tc>
          <w:tcPr>
            <w:tcW w:w="9071" w:type="dxa"/>
            <w:tcBorders>
              <w:top w:val="nil"/>
              <w:left w:val="nil"/>
              <w:bottom w:val="nil"/>
              <w:right w:val="nil"/>
            </w:tcBorders>
          </w:tcPr>
          <w:bookmarkStart w:id="2072" w:name="P2072"/>
          <w:bookmarkEnd w:id="2072"/>
          <w:p>
            <w:pPr>
              <w:pStyle w:val="0"/>
              <w:outlineLvl w:val="1"/>
              <w:jc w:val="both"/>
            </w:pPr>
            <w:r>
              <w:rPr>
                <w:sz w:val="24"/>
              </w:rPr>
              <w:t xml:space="preserve">9. Анализ мероприятий по обеспечению радиационной безопасности и выполнению норм, правил и гигиенических нормативов в области радиационной безопасности за год</w:t>
            </w:r>
          </w:p>
        </w:tc>
      </w:tr>
      <w:tr>
        <w:tblPrEx>
          <w:tblBorders>
            <w:insideH w:val="nil"/>
          </w:tblBorders>
        </w:tblPrEx>
        <w:tc>
          <w:tcPr>
            <w:tcW w:w="9071" w:type="dxa"/>
            <w:tcBorders>
              <w:top w:val="nil"/>
              <w:left w:val="nil"/>
              <w:right w:val="nil"/>
            </w:tcBorders>
          </w:tcPr>
          <w:p>
            <w:pPr>
              <w:pStyle w:val="0"/>
            </w:pPr>
            <w:r>
              <w:rPr>
                <w:sz w:val="24"/>
              </w:rPr>
            </w:r>
          </w:p>
        </w:tc>
      </w:tr>
      <w:tr>
        <w:tc>
          <w:tcPr>
            <w:tcW w:w="9071" w:type="dxa"/>
            <w:tcBorders>
              <w:left w:val="nil"/>
              <w:right w:val="nil"/>
            </w:tcBorders>
          </w:tcPr>
          <w:p>
            <w:pPr>
              <w:pStyle w:val="0"/>
            </w:pPr>
            <w:r>
              <w:rPr>
                <w:sz w:val="24"/>
              </w:rPr>
            </w:r>
          </w:p>
        </w:tc>
      </w:tr>
      <w:tr>
        <w:tc>
          <w:tcPr>
            <w:tcW w:w="9071" w:type="dxa"/>
            <w:tcBorders>
              <w:left w:val="nil"/>
              <w:right w:val="nil"/>
            </w:tcBorders>
          </w:tcPr>
          <w:p>
            <w:pPr>
              <w:pStyle w:val="0"/>
            </w:pPr>
            <w:r>
              <w:rPr>
                <w:sz w:val="24"/>
              </w:rPr>
            </w:r>
          </w:p>
        </w:tc>
      </w:tr>
      <w:tr>
        <w:tc>
          <w:tcPr>
            <w:tcW w:w="9071" w:type="dxa"/>
            <w:tcBorders>
              <w:left w:val="nil"/>
              <w:right w:val="nil"/>
            </w:tcBorders>
          </w:tcPr>
          <w:p>
            <w:pPr>
              <w:pStyle w:val="0"/>
            </w:pPr>
            <w:r>
              <w:rPr>
                <w:sz w:val="24"/>
              </w:rPr>
            </w:r>
          </w:p>
        </w:tc>
      </w:tr>
      <w:tr>
        <w:tc>
          <w:tcPr>
            <w:tcW w:w="9071" w:type="dxa"/>
            <w:tcBorders>
              <w:left w:val="nil"/>
              <w:right w:val="nil"/>
            </w:tcBorders>
          </w:tcPr>
          <w:p>
            <w:pPr>
              <w:pStyle w:val="0"/>
            </w:pPr>
            <w:r>
              <w:rPr>
                <w:sz w:val="24"/>
              </w:rPr>
            </w:r>
          </w:p>
        </w:tc>
      </w:tr>
      <w:tr>
        <w:tc>
          <w:tcPr>
            <w:tcW w:w="9071" w:type="dxa"/>
            <w:tcBorders>
              <w:left w:val="nil"/>
              <w:right w:val="nil"/>
            </w:tcBorders>
          </w:tcPr>
          <w:p>
            <w:pPr>
              <w:pStyle w:val="0"/>
            </w:pPr>
            <w:r>
              <w:rPr>
                <w:sz w:val="24"/>
              </w:rPr>
            </w:r>
          </w:p>
        </w:tc>
      </w:tr>
      <w:tr>
        <w:tc>
          <w:tcPr>
            <w:tcW w:w="9071" w:type="dxa"/>
            <w:tcBorders>
              <w:left w:val="nil"/>
              <w:right w:val="nil"/>
            </w:tcBorders>
          </w:tcPr>
          <w:p>
            <w:pPr>
              <w:pStyle w:val="0"/>
            </w:pPr>
            <w:r>
              <w:rPr>
                <w:sz w:val="24"/>
              </w:rPr>
            </w:r>
          </w:p>
        </w:tc>
      </w:tr>
      <w:tr>
        <w:tblPrEx>
          <w:tblBorders>
            <w:insideH w:val="nil"/>
          </w:tblBorders>
        </w:tblPrEx>
        <w:tc>
          <w:tcPr>
            <w:tcW w:w="9071" w:type="dxa"/>
            <w:tcBorders>
              <w:left w:val="nil"/>
              <w:bottom w:val="nil"/>
              <w:right w:val="nil"/>
            </w:tcBorders>
          </w:tcPr>
          <w:p>
            <w:pPr>
              <w:pStyle w:val="0"/>
              <w:outlineLvl w:val="2"/>
            </w:pPr>
            <w:r>
              <w:rPr>
                <w:sz w:val="24"/>
              </w:rPr>
              <w:t xml:space="preserve">Сведения о выполнении предложений, высказанных в заключении к РГПТ за предыдущий год</w:t>
            </w:r>
          </w:p>
        </w:tc>
      </w:tr>
      <w:tr>
        <w:tblPrEx>
          <w:tblBorders>
            <w:insideH w:val="nil"/>
          </w:tblBorders>
        </w:tblPrEx>
        <w:tc>
          <w:tcPr>
            <w:tcW w:w="9071" w:type="dxa"/>
            <w:tcBorders>
              <w:top w:val="nil"/>
              <w:left w:val="nil"/>
              <w:right w:val="nil"/>
            </w:tcBorders>
          </w:tcPr>
          <w:p>
            <w:pPr>
              <w:pStyle w:val="0"/>
            </w:pPr>
            <w:r>
              <w:rPr>
                <w:sz w:val="24"/>
              </w:rPr>
            </w:r>
          </w:p>
        </w:tc>
      </w:tr>
      <w:tr>
        <w:tc>
          <w:tcPr>
            <w:tcW w:w="9071" w:type="dxa"/>
            <w:tcBorders>
              <w:left w:val="nil"/>
              <w:right w:val="nil"/>
            </w:tcBorders>
          </w:tcPr>
          <w:p>
            <w:pPr>
              <w:pStyle w:val="0"/>
            </w:pPr>
            <w:r>
              <w:rPr>
                <w:sz w:val="24"/>
              </w:rPr>
            </w:r>
          </w:p>
        </w:tc>
      </w:tr>
    </w:tbl>
    <w:p>
      <w:pPr>
        <w:pStyle w:val="0"/>
        <w:jc w:val="both"/>
      </w:pPr>
      <w:r>
        <w:rPr>
          <w:sz w:val="24"/>
        </w:rPr>
      </w:r>
    </w:p>
    <w:tbl>
      <w:tblPr>
        <w:tblInd w:w="0" w:type="dxa"/>
        <w:tblLayout w:type="fixed"/>
        <w:tblBorders>
          <w:bottom w:val="single" w:sz="4"/>
          <w:insideH w:val="single" w:sz="4"/>
        </w:tblBorders>
        <w:tblCellMar>
          <w:top w:w="102" w:type="dxa"/>
          <w:left w:w="62" w:type="dxa"/>
          <w:bottom w:w="102" w:type="dxa"/>
          <w:right w:w="62" w:type="dxa"/>
        </w:tblCellMar>
      </w:tblPr>
      <w:tblGrid>
        <w:gridCol w:w="9071"/>
      </w:tblGrid>
      <w:tr>
        <w:tblPrEx>
          <w:tblBorders>
            <w:insideH w:val="nil"/>
          </w:tblBorders>
        </w:tblPrEx>
        <w:tc>
          <w:tcPr>
            <w:tcW w:w="9071" w:type="dxa"/>
            <w:tcBorders>
              <w:top w:val="nil"/>
              <w:left w:val="nil"/>
              <w:bottom w:val="nil"/>
              <w:right w:val="nil"/>
            </w:tcBorders>
          </w:tcPr>
          <w:bookmarkStart w:id="2084" w:name="P2084"/>
          <w:bookmarkEnd w:id="2084"/>
          <w:p>
            <w:pPr>
              <w:pStyle w:val="0"/>
              <w:outlineLvl w:val="1"/>
              <w:jc w:val="both"/>
            </w:pPr>
            <w:r>
              <w:rPr>
                <w:sz w:val="24"/>
              </w:rPr>
              <w:t xml:space="preserve">10. Наличие соответствующей структуры у администрации территории субъекта РФ для ликвидации радиационных аварий и происшествий, наличие средств и сил</w:t>
            </w:r>
          </w:p>
        </w:tc>
      </w:tr>
      <w:tr>
        <w:tblPrEx>
          <w:tblBorders>
            <w:insideH w:val="nil"/>
          </w:tblBorders>
        </w:tblPrEx>
        <w:tc>
          <w:tcPr>
            <w:tcW w:w="9071" w:type="dxa"/>
            <w:tcBorders>
              <w:top w:val="nil"/>
              <w:left w:val="nil"/>
              <w:right w:val="nil"/>
            </w:tcBorders>
          </w:tcPr>
          <w:p>
            <w:pPr>
              <w:pStyle w:val="0"/>
            </w:pPr>
            <w:r>
              <w:rPr>
                <w:sz w:val="24"/>
              </w:rPr>
            </w:r>
          </w:p>
        </w:tc>
      </w:tr>
      <w:tr>
        <w:tc>
          <w:tcPr>
            <w:tcW w:w="9071" w:type="dxa"/>
            <w:tcBorders>
              <w:left w:val="nil"/>
              <w:right w:val="nil"/>
            </w:tcBorders>
          </w:tcPr>
          <w:p>
            <w:pPr>
              <w:pStyle w:val="0"/>
            </w:pPr>
            <w:r>
              <w:rPr>
                <w:sz w:val="24"/>
              </w:rPr>
            </w:r>
          </w:p>
        </w:tc>
      </w:tr>
      <w:tr>
        <w:tc>
          <w:tcPr>
            <w:tcW w:w="9071" w:type="dxa"/>
            <w:tcBorders>
              <w:left w:val="nil"/>
              <w:right w:val="nil"/>
            </w:tcBorders>
          </w:tcPr>
          <w:p>
            <w:pPr>
              <w:pStyle w:val="0"/>
            </w:pPr>
            <w:r>
              <w:rPr>
                <w:sz w:val="24"/>
              </w:rPr>
            </w:r>
          </w:p>
        </w:tc>
      </w:tr>
      <w:tr>
        <w:tc>
          <w:tcPr>
            <w:tcW w:w="9071" w:type="dxa"/>
            <w:tcBorders>
              <w:left w:val="nil"/>
              <w:right w:val="nil"/>
            </w:tcBorders>
          </w:tcPr>
          <w:p>
            <w:pPr>
              <w:pStyle w:val="0"/>
            </w:pPr>
            <w:r>
              <w:rPr>
                <w:sz w:val="24"/>
              </w:rPr>
            </w:r>
          </w:p>
        </w:tc>
      </w:tr>
      <w:tr>
        <w:tc>
          <w:tcPr>
            <w:tcW w:w="9071" w:type="dxa"/>
            <w:tcBorders>
              <w:left w:val="nil"/>
              <w:right w:val="nil"/>
            </w:tcBorders>
          </w:tcPr>
          <w:p>
            <w:pPr>
              <w:pStyle w:val="0"/>
            </w:pPr>
            <w:r>
              <w:rPr>
                <w:sz w:val="24"/>
              </w:rPr>
            </w:r>
          </w:p>
        </w:tc>
      </w:tr>
      <w:tr>
        <w:tc>
          <w:tcPr>
            <w:tcW w:w="9071" w:type="dxa"/>
            <w:tcBorders>
              <w:left w:val="nil"/>
              <w:right w:val="nil"/>
            </w:tcBorders>
          </w:tcPr>
          <w:p>
            <w:pPr>
              <w:pStyle w:val="0"/>
            </w:pPr>
            <w:r>
              <w:rPr>
                <w:sz w:val="24"/>
              </w:rPr>
            </w:r>
          </w:p>
        </w:tc>
      </w:tr>
      <w:tr>
        <w:tc>
          <w:tcPr>
            <w:tcW w:w="9071" w:type="dxa"/>
            <w:tcBorders>
              <w:left w:val="nil"/>
              <w:right w:val="nil"/>
            </w:tcBorders>
          </w:tcPr>
          <w:p>
            <w:pPr>
              <w:pStyle w:val="0"/>
            </w:pPr>
            <w:r>
              <w:rPr>
                <w:sz w:val="24"/>
              </w:rPr>
            </w:r>
          </w:p>
        </w:tc>
      </w:tr>
      <w:tr>
        <w:tc>
          <w:tcPr>
            <w:tcW w:w="9071" w:type="dxa"/>
            <w:tcBorders>
              <w:left w:val="nil"/>
              <w:right w:val="nil"/>
            </w:tcBorders>
          </w:tcPr>
          <w:p>
            <w:pPr>
              <w:pStyle w:val="0"/>
            </w:pPr>
            <w:r>
              <w:rPr>
                <w:sz w:val="24"/>
              </w:rPr>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9071"/>
      </w:tblGrid>
      <w:tr>
        <w:tc>
          <w:tcPr>
            <w:tcW w:w="9071" w:type="dxa"/>
            <w:tcBorders>
              <w:top w:val="nil"/>
              <w:left w:val="nil"/>
              <w:bottom w:val="nil"/>
              <w:right w:val="nil"/>
            </w:tcBorders>
          </w:tcPr>
          <w:p>
            <w:pPr>
              <w:pStyle w:val="0"/>
              <w:jc w:val="both"/>
            </w:pPr>
            <w:r>
              <w:rPr>
                <w:sz w:val="24"/>
              </w:rPr>
              <w:t xml:space="preserve">Подпись и должность лица, заполняющего радиационно-гигиенический паспорт территории</w:t>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2778"/>
        <w:gridCol w:w="340"/>
        <w:gridCol w:w="794"/>
        <w:gridCol w:w="340"/>
        <w:gridCol w:w="1531"/>
        <w:gridCol w:w="340"/>
        <w:gridCol w:w="907"/>
        <w:gridCol w:w="340"/>
        <w:gridCol w:w="1247"/>
        <w:gridCol w:w="454"/>
      </w:tblGrid>
      <w:tr>
        <w:tblPrEx>
          <w:tblBorders>
            <w:insideH w:val="single" w:sz="4"/>
          </w:tblBorders>
        </w:tblPrEx>
        <w:tc>
          <w:tcPr>
            <w:gridSpan w:val="10"/>
            <w:tcW w:w="9071" w:type="dxa"/>
            <w:tcBorders>
              <w:top w:val="nil"/>
              <w:left w:val="nil"/>
              <w:bottom w:val="single" w:sz="4"/>
              <w:right w:val="nil"/>
            </w:tcBorders>
          </w:tcPr>
          <w:p>
            <w:pPr>
              <w:pStyle w:val="0"/>
            </w:pPr>
            <w:r>
              <w:rPr>
                <w:sz w:val="24"/>
              </w:rPr>
            </w:r>
          </w:p>
        </w:tc>
      </w:tr>
      <w:tr>
        <w:tc>
          <w:tcPr>
            <w:gridSpan w:val="10"/>
            <w:tcW w:w="9071" w:type="dxa"/>
            <w:tcBorders>
              <w:top w:val="single" w:sz="4"/>
              <w:left w:val="nil"/>
              <w:bottom w:val="nil"/>
              <w:right w:val="nil"/>
            </w:tcBorders>
          </w:tcPr>
          <w:p>
            <w:pPr>
              <w:pStyle w:val="0"/>
              <w:jc w:val="center"/>
            </w:pPr>
            <w:r>
              <w:rPr>
                <w:sz w:val="24"/>
              </w:rPr>
              <w:t xml:space="preserve">(Должность)</w:t>
            </w:r>
          </w:p>
        </w:tc>
      </w:tr>
      <w:tr>
        <w:tc>
          <w:tcPr>
            <w:gridSpan w:val="10"/>
            <w:tcW w:w="9071" w:type="dxa"/>
            <w:tcBorders>
              <w:top w:val="nil"/>
              <w:left w:val="nil"/>
              <w:bottom w:val="nil"/>
              <w:right w:val="nil"/>
            </w:tcBorders>
          </w:tcPr>
          <w:p>
            <w:pPr>
              <w:pStyle w:val="0"/>
            </w:pPr>
            <w:r>
              <w:rPr>
                <w:sz w:val="24"/>
              </w:rPr>
            </w:r>
          </w:p>
        </w:tc>
      </w:tr>
      <w:tr>
        <w:tc>
          <w:tcPr>
            <w:gridSpan w:val="3"/>
            <w:tcW w:w="3912" w:type="dxa"/>
            <w:tcBorders>
              <w:top w:val="nil"/>
              <w:left w:val="nil"/>
              <w:bottom w:val="single" w:sz="4"/>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gridSpan w:val="3"/>
            <w:tcW w:w="2778" w:type="dxa"/>
            <w:tcBorders>
              <w:top w:val="nil"/>
              <w:left w:val="nil"/>
              <w:bottom w:val="single" w:sz="4"/>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1247" w:type="dxa"/>
            <w:tcBorders>
              <w:top w:val="nil"/>
              <w:left w:val="nil"/>
              <w:bottom w:val="single" w:sz="4"/>
              <w:right w:val="nil"/>
            </w:tcBorders>
          </w:tcPr>
          <w:p>
            <w:pPr>
              <w:pStyle w:val="0"/>
            </w:pPr>
            <w:r>
              <w:rPr>
                <w:sz w:val="24"/>
              </w:rPr>
            </w:r>
          </w:p>
        </w:tc>
        <w:tc>
          <w:tcPr>
            <w:tcW w:w="454" w:type="dxa"/>
            <w:tcBorders>
              <w:top w:val="nil"/>
              <w:left w:val="nil"/>
              <w:bottom w:val="nil"/>
              <w:right w:val="nil"/>
            </w:tcBorders>
          </w:tcPr>
          <w:p>
            <w:pPr>
              <w:pStyle w:val="0"/>
            </w:pPr>
            <w:r>
              <w:rPr>
                <w:sz w:val="24"/>
              </w:rPr>
            </w:r>
          </w:p>
        </w:tc>
      </w:tr>
      <w:tr>
        <w:tc>
          <w:tcPr>
            <w:gridSpan w:val="3"/>
            <w:tcW w:w="3912" w:type="dxa"/>
            <w:tcBorders>
              <w:top w:val="single" w:sz="4"/>
              <w:left w:val="nil"/>
              <w:bottom w:val="nil"/>
              <w:right w:val="nil"/>
            </w:tcBorders>
          </w:tcPr>
          <w:p>
            <w:pPr>
              <w:pStyle w:val="0"/>
              <w:jc w:val="center"/>
            </w:pPr>
            <w:r>
              <w:rPr>
                <w:sz w:val="24"/>
              </w:rPr>
              <w:t xml:space="preserve">(Фамилия Имя Отчество)</w:t>
            </w:r>
          </w:p>
        </w:tc>
        <w:tc>
          <w:tcPr>
            <w:tcW w:w="340" w:type="dxa"/>
            <w:tcBorders>
              <w:top w:val="nil"/>
              <w:left w:val="nil"/>
              <w:bottom w:val="nil"/>
              <w:right w:val="nil"/>
            </w:tcBorders>
          </w:tcPr>
          <w:p>
            <w:pPr>
              <w:pStyle w:val="0"/>
            </w:pPr>
            <w:r>
              <w:rPr>
                <w:sz w:val="24"/>
              </w:rPr>
            </w:r>
          </w:p>
        </w:tc>
        <w:tc>
          <w:tcPr>
            <w:gridSpan w:val="3"/>
            <w:tcW w:w="2778" w:type="dxa"/>
            <w:tcBorders>
              <w:top w:val="single" w:sz="4"/>
              <w:left w:val="nil"/>
              <w:bottom w:val="nil"/>
              <w:right w:val="nil"/>
            </w:tcBorders>
          </w:tcPr>
          <w:p>
            <w:pPr>
              <w:pStyle w:val="0"/>
              <w:jc w:val="center"/>
            </w:pPr>
            <w:r>
              <w:rPr>
                <w:sz w:val="24"/>
              </w:rPr>
              <w:t xml:space="preserve">(Подпись)</w:t>
            </w:r>
          </w:p>
        </w:tc>
        <w:tc>
          <w:tcPr>
            <w:tcW w:w="340" w:type="dxa"/>
            <w:tcBorders>
              <w:top w:val="nil"/>
              <w:left w:val="nil"/>
              <w:bottom w:val="nil"/>
              <w:right w:val="nil"/>
            </w:tcBorders>
          </w:tcPr>
          <w:p>
            <w:pPr>
              <w:pStyle w:val="0"/>
            </w:pPr>
            <w:r>
              <w:rPr>
                <w:sz w:val="24"/>
              </w:rPr>
            </w:r>
          </w:p>
        </w:tc>
        <w:tc>
          <w:tcPr>
            <w:tcW w:w="1247" w:type="dxa"/>
            <w:tcBorders>
              <w:top w:val="single" w:sz="4"/>
              <w:left w:val="nil"/>
              <w:bottom w:val="nil"/>
              <w:right w:val="nil"/>
            </w:tcBorders>
          </w:tcPr>
          <w:p>
            <w:pPr>
              <w:pStyle w:val="0"/>
              <w:jc w:val="center"/>
            </w:pPr>
            <w:r>
              <w:rPr>
                <w:sz w:val="24"/>
              </w:rPr>
              <w:t xml:space="preserve">(Дата)</w:t>
            </w:r>
          </w:p>
        </w:tc>
        <w:tc>
          <w:tcPr>
            <w:tcW w:w="454" w:type="dxa"/>
            <w:tcBorders>
              <w:top w:val="nil"/>
              <w:left w:val="nil"/>
              <w:bottom w:val="nil"/>
              <w:right w:val="nil"/>
            </w:tcBorders>
          </w:tcPr>
          <w:p>
            <w:pPr>
              <w:pStyle w:val="0"/>
            </w:pPr>
            <w:r>
              <w:rPr>
                <w:sz w:val="24"/>
              </w:rPr>
            </w:r>
          </w:p>
        </w:tc>
      </w:tr>
      <w:tr>
        <w:tc>
          <w:tcPr>
            <w:gridSpan w:val="10"/>
            <w:tcW w:w="9071" w:type="dxa"/>
            <w:tcBorders>
              <w:top w:val="nil"/>
              <w:left w:val="nil"/>
              <w:bottom w:val="nil"/>
              <w:right w:val="nil"/>
            </w:tcBorders>
          </w:tcPr>
          <w:p>
            <w:pPr>
              <w:pStyle w:val="0"/>
            </w:pPr>
            <w:r>
              <w:rPr>
                <w:sz w:val="24"/>
              </w:rPr>
            </w:r>
          </w:p>
        </w:tc>
      </w:tr>
      <w:tr>
        <w:tc>
          <w:tcPr>
            <w:tcW w:w="2778" w:type="dxa"/>
            <w:tcBorders>
              <w:top w:val="nil"/>
              <w:left w:val="nil"/>
              <w:bottom w:val="nil"/>
              <w:right w:val="nil"/>
            </w:tcBorders>
          </w:tcPr>
          <w:p>
            <w:pPr>
              <w:pStyle w:val="0"/>
              <w:ind w:left="283"/>
            </w:pPr>
            <w:r>
              <w:rPr>
                <w:sz w:val="24"/>
              </w:rPr>
              <w:t xml:space="preserve">Контактный телефон:</w:t>
            </w:r>
          </w:p>
        </w:tc>
        <w:tc>
          <w:tcPr>
            <w:tcW w:w="340" w:type="dxa"/>
            <w:tcBorders>
              <w:top w:val="nil"/>
              <w:left w:val="nil"/>
              <w:bottom w:val="nil"/>
              <w:right w:val="nil"/>
            </w:tcBorders>
          </w:tcPr>
          <w:p>
            <w:pPr>
              <w:pStyle w:val="0"/>
              <w:jc w:val="right"/>
            </w:pPr>
            <w:r>
              <w:rPr>
                <w:sz w:val="24"/>
              </w:rPr>
              <w:t xml:space="preserve">(</w:t>
            </w:r>
          </w:p>
        </w:tc>
        <w:tc>
          <w:tcPr>
            <w:tcW w:w="794" w:type="dxa"/>
            <w:tcBorders>
              <w:top w:val="nil"/>
              <w:left w:val="nil"/>
              <w:bottom w:val="single" w:sz="4"/>
              <w:right w:val="nil"/>
            </w:tcBorders>
          </w:tcPr>
          <w:p>
            <w:pPr>
              <w:pStyle w:val="0"/>
            </w:pPr>
            <w:r>
              <w:rPr>
                <w:sz w:val="24"/>
              </w:rPr>
            </w:r>
          </w:p>
        </w:tc>
        <w:tc>
          <w:tcPr>
            <w:tcW w:w="340" w:type="dxa"/>
            <w:tcBorders>
              <w:top w:val="nil"/>
              <w:left w:val="nil"/>
              <w:bottom w:val="nil"/>
              <w:right w:val="nil"/>
            </w:tcBorders>
          </w:tcPr>
          <w:p>
            <w:pPr>
              <w:pStyle w:val="0"/>
            </w:pPr>
            <w:r>
              <w:rPr>
                <w:sz w:val="24"/>
              </w:rPr>
              <w:t xml:space="preserve">)</w:t>
            </w:r>
          </w:p>
        </w:tc>
        <w:tc>
          <w:tcPr>
            <w:tcW w:w="1531" w:type="dxa"/>
            <w:tcBorders>
              <w:top w:val="nil"/>
              <w:left w:val="nil"/>
              <w:bottom w:val="single" w:sz="4"/>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gridSpan w:val="2"/>
            <w:tcW w:w="1247" w:type="dxa"/>
            <w:tcBorders>
              <w:top w:val="nil"/>
              <w:left w:val="nil"/>
              <w:bottom w:val="nil"/>
              <w:right w:val="nil"/>
            </w:tcBorders>
          </w:tcPr>
          <w:p>
            <w:pPr>
              <w:pStyle w:val="0"/>
            </w:pPr>
            <w:r>
              <w:rPr>
                <w:sz w:val="24"/>
              </w:rPr>
              <w:t xml:space="preserve">Эл. почта</w:t>
            </w:r>
          </w:p>
        </w:tc>
        <w:tc>
          <w:tcPr>
            <w:gridSpan w:val="2"/>
            <w:tcW w:w="1701" w:type="dxa"/>
            <w:tcBorders>
              <w:top w:val="nil"/>
              <w:left w:val="nil"/>
              <w:bottom w:val="single" w:sz="4"/>
              <w:right w:val="nil"/>
            </w:tcBorders>
          </w:tcPr>
          <w:p>
            <w:pPr>
              <w:pStyle w:val="0"/>
            </w:pPr>
            <w:r>
              <w:rPr>
                <w:sz w:val="24"/>
              </w:rPr>
            </w:r>
          </w:p>
        </w:tc>
      </w:tr>
      <w:tr>
        <w:tc>
          <w:tcPr>
            <w:tcW w:w="2778" w:type="dxa"/>
            <w:tcBorders>
              <w:top w:val="nil"/>
              <w:left w:val="nil"/>
              <w:bottom w:val="nil"/>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794" w:type="dxa"/>
            <w:tcBorders>
              <w:top w:val="single" w:sz="4"/>
              <w:left w:val="nil"/>
              <w:bottom w:val="nil"/>
              <w:right w:val="nil"/>
            </w:tcBorders>
          </w:tcPr>
          <w:p>
            <w:pPr>
              <w:pStyle w:val="0"/>
              <w:jc w:val="center"/>
            </w:pPr>
            <w:r>
              <w:rPr>
                <w:sz w:val="24"/>
              </w:rPr>
              <w:t xml:space="preserve">(Код)</w:t>
            </w:r>
          </w:p>
        </w:tc>
        <w:tc>
          <w:tcPr>
            <w:tcW w:w="340" w:type="dxa"/>
            <w:tcBorders>
              <w:top w:val="nil"/>
              <w:left w:val="nil"/>
              <w:bottom w:val="nil"/>
              <w:right w:val="nil"/>
            </w:tcBorders>
          </w:tcPr>
          <w:p>
            <w:pPr>
              <w:pStyle w:val="0"/>
            </w:pPr>
            <w:r>
              <w:rPr>
                <w:sz w:val="24"/>
              </w:rPr>
            </w:r>
          </w:p>
        </w:tc>
        <w:tc>
          <w:tcPr>
            <w:tcW w:w="1531" w:type="dxa"/>
            <w:tcBorders>
              <w:top w:val="single" w:sz="4"/>
              <w:left w:val="nil"/>
              <w:bottom w:val="nil"/>
              <w:right w:val="nil"/>
            </w:tcBorders>
          </w:tcPr>
          <w:p>
            <w:pPr>
              <w:pStyle w:val="0"/>
              <w:jc w:val="center"/>
            </w:pPr>
            <w:r>
              <w:rPr>
                <w:sz w:val="24"/>
              </w:rPr>
              <w:t xml:space="preserve">(Номер)</w:t>
            </w:r>
          </w:p>
        </w:tc>
        <w:tc>
          <w:tcPr>
            <w:tcW w:w="340" w:type="dxa"/>
            <w:tcBorders>
              <w:top w:val="nil"/>
              <w:left w:val="nil"/>
              <w:bottom w:val="nil"/>
              <w:right w:val="nil"/>
            </w:tcBorders>
          </w:tcPr>
          <w:p>
            <w:pPr>
              <w:pStyle w:val="0"/>
            </w:pPr>
            <w:r>
              <w:rPr>
                <w:sz w:val="24"/>
              </w:rPr>
            </w:r>
          </w:p>
        </w:tc>
        <w:tc>
          <w:tcPr>
            <w:gridSpan w:val="2"/>
            <w:tcW w:w="1247" w:type="dxa"/>
            <w:tcBorders>
              <w:top w:val="nil"/>
              <w:left w:val="nil"/>
              <w:bottom w:val="nil"/>
              <w:right w:val="nil"/>
            </w:tcBorders>
          </w:tcPr>
          <w:p>
            <w:pPr>
              <w:pStyle w:val="0"/>
            </w:pPr>
            <w:r>
              <w:rPr>
                <w:sz w:val="24"/>
              </w:rPr>
            </w:r>
          </w:p>
        </w:tc>
        <w:tc>
          <w:tcPr>
            <w:gridSpan w:val="2"/>
            <w:tcW w:w="1701" w:type="dxa"/>
            <w:tcBorders>
              <w:top w:val="single" w:sz="4"/>
              <w:left w:val="nil"/>
              <w:bottom w:val="nil"/>
              <w:right w:val="nil"/>
            </w:tcBorders>
          </w:tcPr>
          <w:p>
            <w:pPr>
              <w:pStyle w:val="0"/>
            </w:pPr>
            <w:r>
              <w:rPr>
                <w:sz w:val="24"/>
              </w:rPr>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9071"/>
      </w:tblGrid>
      <w:tr>
        <w:tc>
          <w:tcPr>
            <w:tcW w:w="9071" w:type="dxa"/>
            <w:tcBorders>
              <w:top w:val="nil"/>
              <w:left w:val="nil"/>
              <w:bottom w:val="nil"/>
              <w:right w:val="nil"/>
            </w:tcBorders>
          </w:tcPr>
          <w:bookmarkStart w:id="2129" w:name="P2129"/>
          <w:bookmarkEnd w:id="2129"/>
          <w:p>
            <w:pPr>
              <w:pStyle w:val="0"/>
              <w:outlineLvl w:val="1"/>
              <w:jc w:val="both"/>
            </w:pPr>
            <w:r>
              <w:rPr>
                <w:sz w:val="24"/>
              </w:rPr>
              <w:t xml:space="preserve">11. Оценка администрацией территории субъекта Российской Федерации радиационной ситуации на территории в отчетном году</w:t>
            </w:r>
          </w:p>
        </w:tc>
      </w:tr>
    </w:tbl>
    <w:p>
      <w:pPr>
        <w:pStyle w:val="0"/>
        <w:jc w:val="both"/>
      </w:pPr>
      <w:r>
        <w:rPr>
          <w:sz w:val="24"/>
        </w:rPr>
      </w:r>
    </w:p>
    <w:tbl>
      <w:tblPr>
        <w:tblInd w:w="0" w:type="dxa"/>
        <w:tblLayout w:type="fixed"/>
        <w:tblBorders>
          <w:top w:val="single" w:sz="4"/>
          <w:left w:val="single" w:sz="4"/>
          <w:bottom w:val="single" w:sz="4"/>
          <w:right w:val="single" w:sz="4"/>
          <w:insideH w:val="single" w:sz="4"/>
        </w:tblBorders>
        <w:tblCellMar>
          <w:top w:w="102" w:type="dxa"/>
          <w:left w:w="62" w:type="dxa"/>
          <w:bottom w:w="102" w:type="dxa"/>
          <w:right w:w="62" w:type="dxa"/>
        </w:tblCellMar>
      </w:tblPr>
      <w:tblGrid>
        <w:gridCol w:w="9071"/>
      </w:tblGrid>
      <w:tr>
        <w:tc>
          <w:tcPr>
            <w:tcW w:w="9071" w:type="dxa"/>
            <w:tcBorders>
              <w:left w:val="single" w:sz="4"/>
              <w:right w:val="single" w:sz="4"/>
            </w:tcBorders>
          </w:tcPr>
          <w:p>
            <w:pPr>
              <w:pStyle w:val="0"/>
              <w:outlineLvl w:val="2"/>
            </w:pPr>
            <w:r>
              <w:rPr>
                <w:sz w:val="24"/>
              </w:rPr>
              <w:t xml:space="preserve">11.1. Общая оценка состояния радиационной безопасности в отчетном году</w:t>
            </w:r>
          </w:p>
        </w:tc>
      </w:tr>
      <w:tr>
        <w:tc>
          <w:tcPr>
            <w:tcW w:w="9071" w:type="dxa"/>
            <w:tcBorders>
              <w:left w:val="single" w:sz="4"/>
              <w:right w:val="single" w:sz="4"/>
            </w:tcBorders>
          </w:tcPr>
          <w:p>
            <w:pPr>
              <w:pStyle w:val="0"/>
            </w:pPr>
            <w:r>
              <w:rPr>
                <w:sz w:val="24"/>
              </w:rPr>
            </w:r>
          </w:p>
        </w:tc>
      </w:tr>
      <w:tr>
        <w:tc>
          <w:tcPr>
            <w:tcW w:w="9071" w:type="dxa"/>
            <w:tcBorders>
              <w:left w:val="single" w:sz="4"/>
              <w:right w:val="single" w:sz="4"/>
            </w:tcBorders>
          </w:tcPr>
          <w:p>
            <w:pPr>
              <w:pStyle w:val="0"/>
            </w:pPr>
            <w:r>
              <w:rPr>
                <w:sz w:val="24"/>
              </w:rPr>
            </w:r>
          </w:p>
        </w:tc>
      </w:tr>
      <w:tr>
        <w:tc>
          <w:tcPr>
            <w:tcW w:w="9071" w:type="dxa"/>
            <w:tcBorders>
              <w:left w:val="single" w:sz="4"/>
              <w:right w:val="single" w:sz="4"/>
            </w:tcBorders>
          </w:tcPr>
          <w:p>
            <w:pPr>
              <w:pStyle w:val="0"/>
            </w:pPr>
            <w:r>
              <w:rPr>
                <w:sz w:val="24"/>
              </w:rPr>
            </w:r>
          </w:p>
        </w:tc>
      </w:tr>
      <w:tr>
        <w:tc>
          <w:tcPr>
            <w:tcW w:w="9071" w:type="dxa"/>
            <w:tcBorders>
              <w:left w:val="single" w:sz="4"/>
              <w:right w:val="single" w:sz="4"/>
            </w:tcBorders>
          </w:tcPr>
          <w:p>
            <w:pPr>
              <w:pStyle w:val="0"/>
              <w:outlineLvl w:val="2"/>
            </w:pPr>
            <w:r>
              <w:rPr>
                <w:sz w:val="24"/>
              </w:rPr>
              <w:t xml:space="preserve">11.2. Наличие радиационных объектов I и II категории потенциальной радиационной опасности</w:t>
            </w:r>
          </w:p>
        </w:tc>
      </w:tr>
      <w:tr>
        <w:tc>
          <w:tcPr>
            <w:tcW w:w="9071" w:type="dxa"/>
            <w:tcBorders>
              <w:left w:val="single" w:sz="4"/>
              <w:right w:val="single" w:sz="4"/>
            </w:tcBorders>
          </w:tcPr>
          <w:p>
            <w:pPr>
              <w:pStyle w:val="0"/>
            </w:pPr>
            <w:r>
              <w:rPr>
                <w:sz w:val="24"/>
              </w:rPr>
            </w:r>
          </w:p>
        </w:tc>
      </w:tr>
      <w:tr>
        <w:tc>
          <w:tcPr>
            <w:tcW w:w="9071" w:type="dxa"/>
            <w:tcBorders>
              <w:left w:val="single" w:sz="4"/>
              <w:right w:val="single" w:sz="4"/>
            </w:tcBorders>
          </w:tcPr>
          <w:p>
            <w:pPr>
              <w:pStyle w:val="0"/>
            </w:pPr>
            <w:r>
              <w:rPr>
                <w:sz w:val="24"/>
              </w:rPr>
            </w:r>
          </w:p>
        </w:tc>
      </w:tr>
      <w:tr>
        <w:tc>
          <w:tcPr>
            <w:tcW w:w="9071" w:type="dxa"/>
            <w:tcBorders>
              <w:left w:val="single" w:sz="4"/>
              <w:right w:val="single" w:sz="4"/>
            </w:tcBorders>
          </w:tcPr>
          <w:p>
            <w:pPr>
              <w:pStyle w:val="0"/>
            </w:pPr>
            <w:r>
              <w:rPr>
                <w:sz w:val="24"/>
              </w:rPr>
            </w:r>
          </w:p>
        </w:tc>
      </w:tr>
      <w:tr>
        <w:tc>
          <w:tcPr>
            <w:tcW w:w="9071" w:type="dxa"/>
            <w:tcBorders>
              <w:left w:val="single" w:sz="4"/>
              <w:right w:val="single" w:sz="4"/>
            </w:tcBorders>
          </w:tcPr>
          <w:p>
            <w:pPr>
              <w:pStyle w:val="0"/>
              <w:outlineLvl w:val="2"/>
            </w:pPr>
            <w:r>
              <w:rPr>
                <w:sz w:val="24"/>
              </w:rPr>
              <w:t xml:space="preserve">11.3. Наличие радиационных аварий и случаев лучевой патологии</w:t>
            </w:r>
          </w:p>
        </w:tc>
      </w:tr>
      <w:tr>
        <w:tc>
          <w:tcPr>
            <w:tcW w:w="9071" w:type="dxa"/>
            <w:tcBorders>
              <w:left w:val="single" w:sz="4"/>
              <w:right w:val="single" w:sz="4"/>
            </w:tcBorders>
          </w:tcPr>
          <w:p>
            <w:pPr>
              <w:pStyle w:val="0"/>
            </w:pPr>
            <w:r>
              <w:rPr>
                <w:sz w:val="24"/>
              </w:rPr>
            </w:r>
          </w:p>
        </w:tc>
      </w:tr>
      <w:tr>
        <w:tc>
          <w:tcPr>
            <w:tcW w:w="9071" w:type="dxa"/>
            <w:tcBorders>
              <w:left w:val="single" w:sz="4"/>
              <w:right w:val="single" w:sz="4"/>
            </w:tcBorders>
          </w:tcPr>
          <w:p>
            <w:pPr>
              <w:pStyle w:val="0"/>
            </w:pPr>
            <w:r>
              <w:rPr>
                <w:sz w:val="24"/>
              </w:rPr>
            </w:r>
          </w:p>
        </w:tc>
      </w:tr>
      <w:tr>
        <w:tc>
          <w:tcPr>
            <w:tcW w:w="9071" w:type="dxa"/>
            <w:tcBorders>
              <w:left w:val="single" w:sz="4"/>
              <w:right w:val="single" w:sz="4"/>
            </w:tcBorders>
          </w:tcPr>
          <w:p>
            <w:pPr>
              <w:pStyle w:val="0"/>
            </w:pPr>
            <w:r>
              <w:rPr>
                <w:sz w:val="24"/>
              </w:rPr>
            </w:r>
          </w:p>
        </w:tc>
      </w:tr>
      <w:tr>
        <w:tc>
          <w:tcPr>
            <w:tcW w:w="9071" w:type="dxa"/>
            <w:tcBorders>
              <w:left w:val="single" w:sz="4"/>
              <w:right w:val="single" w:sz="4"/>
            </w:tcBorders>
          </w:tcPr>
          <w:p>
            <w:pPr>
              <w:pStyle w:val="0"/>
              <w:outlineLvl w:val="2"/>
            </w:pPr>
            <w:r>
              <w:rPr>
                <w:sz w:val="24"/>
              </w:rPr>
              <w:t xml:space="preserve">11.4. Задачи по повышению радиационной безопасности населения субъекта РФ</w:t>
            </w:r>
          </w:p>
        </w:tc>
      </w:tr>
      <w:tr>
        <w:tc>
          <w:tcPr>
            <w:tcW w:w="9071" w:type="dxa"/>
            <w:tcBorders>
              <w:left w:val="single" w:sz="4"/>
              <w:right w:val="single" w:sz="4"/>
            </w:tcBorders>
          </w:tcPr>
          <w:p>
            <w:pPr>
              <w:pStyle w:val="0"/>
            </w:pPr>
            <w:r>
              <w:rPr>
                <w:sz w:val="24"/>
              </w:rPr>
            </w:r>
          </w:p>
        </w:tc>
      </w:tr>
      <w:tr>
        <w:tc>
          <w:tcPr>
            <w:tcW w:w="9071" w:type="dxa"/>
            <w:tcBorders>
              <w:left w:val="single" w:sz="4"/>
              <w:right w:val="single" w:sz="4"/>
            </w:tcBorders>
          </w:tcPr>
          <w:p>
            <w:pPr>
              <w:pStyle w:val="0"/>
            </w:pPr>
            <w:r>
              <w:rPr>
                <w:sz w:val="24"/>
              </w:rPr>
            </w:r>
          </w:p>
        </w:tc>
      </w:tr>
      <w:tr>
        <w:tc>
          <w:tcPr>
            <w:tcW w:w="9071" w:type="dxa"/>
            <w:tcBorders>
              <w:left w:val="single" w:sz="4"/>
              <w:right w:val="single" w:sz="4"/>
            </w:tcBorders>
          </w:tcPr>
          <w:p>
            <w:pPr>
              <w:pStyle w:val="0"/>
            </w:pPr>
            <w:r>
              <w:rPr>
                <w:sz w:val="24"/>
              </w:rPr>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3912"/>
        <w:gridCol w:w="340"/>
        <w:gridCol w:w="2778"/>
        <w:gridCol w:w="340"/>
        <w:gridCol w:w="1247"/>
        <w:gridCol w:w="454"/>
      </w:tblGrid>
      <w:tr>
        <w:tc>
          <w:tcPr>
            <w:gridSpan w:val="6"/>
            <w:tcW w:w="9071" w:type="dxa"/>
            <w:tcBorders>
              <w:top w:val="nil"/>
              <w:left w:val="nil"/>
              <w:bottom w:val="nil"/>
              <w:right w:val="nil"/>
            </w:tcBorders>
          </w:tcPr>
          <w:p>
            <w:pPr>
              <w:pStyle w:val="0"/>
              <w:jc w:val="both"/>
            </w:pPr>
            <w:r>
              <w:rPr>
                <w:sz w:val="24"/>
              </w:rPr>
              <w:t xml:space="preserve">Руководитель администрации территории субъекта Российской Федерации</w:t>
            </w:r>
          </w:p>
        </w:tc>
      </w:tr>
      <w:tr>
        <w:tc>
          <w:tcPr>
            <w:gridSpan w:val="6"/>
            <w:tcW w:w="9071" w:type="dxa"/>
            <w:tcBorders>
              <w:top w:val="nil"/>
              <w:left w:val="nil"/>
              <w:bottom w:val="single" w:sz="4"/>
              <w:right w:val="nil"/>
            </w:tcBorders>
          </w:tcPr>
          <w:p>
            <w:pPr>
              <w:pStyle w:val="0"/>
            </w:pPr>
            <w:r>
              <w:rPr>
                <w:sz w:val="24"/>
              </w:rPr>
            </w:r>
          </w:p>
        </w:tc>
      </w:tr>
      <w:tr>
        <w:tc>
          <w:tcPr>
            <w:gridSpan w:val="6"/>
            <w:tcW w:w="9071" w:type="dxa"/>
            <w:tcBorders>
              <w:top w:val="single" w:sz="4"/>
              <w:left w:val="nil"/>
              <w:bottom w:val="nil"/>
              <w:right w:val="nil"/>
            </w:tcBorders>
          </w:tcPr>
          <w:p>
            <w:pPr>
              <w:pStyle w:val="0"/>
              <w:jc w:val="center"/>
            </w:pPr>
            <w:r>
              <w:rPr>
                <w:sz w:val="24"/>
              </w:rPr>
              <w:t xml:space="preserve">(Должность)</w:t>
            </w:r>
          </w:p>
        </w:tc>
      </w:tr>
      <w:tr>
        <w:tc>
          <w:tcPr>
            <w:gridSpan w:val="6"/>
            <w:tcW w:w="9071" w:type="dxa"/>
            <w:tcBorders>
              <w:top w:val="nil"/>
              <w:left w:val="nil"/>
              <w:bottom w:val="nil"/>
              <w:right w:val="nil"/>
            </w:tcBorders>
          </w:tcPr>
          <w:p>
            <w:pPr>
              <w:pStyle w:val="0"/>
            </w:pPr>
            <w:r>
              <w:rPr>
                <w:sz w:val="24"/>
              </w:rPr>
            </w:r>
          </w:p>
        </w:tc>
      </w:tr>
      <w:tr>
        <w:tc>
          <w:tcPr>
            <w:tcW w:w="3912" w:type="dxa"/>
            <w:tcBorders>
              <w:top w:val="nil"/>
              <w:left w:val="nil"/>
              <w:bottom w:val="single" w:sz="4"/>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2778" w:type="dxa"/>
            <w:tcBorders>
              <w:top w:val="nil"/>
              <w:left w:val="nil"/>
              <w:bottom w:val="single" w:sz="4"/>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1247" w:type="dxa"/>
            <w:tcBorders>
              <w:top w:val="nil"/>
              <w:left w:val="nil"/>
              <w:bottom w:val="single" w:sz="4"/>
              <w:right w:val="nil"/>
            </w:tcBorders>
          </w:tcPr>
          <w:p>
            <w:pPr>
              <w:pStyle w:val="0"/>
            </w:pPr>
            <w:r>
              <w:rPr>
                <w:sz w:val="24"/>
              </w:rPr>
            </w:r>
          </w:p>
        </w:tc>
        <w:tc>
          <w:tcPr>
            <w:tcW w:w="454" w:type="dxa"/>
            <w:tcBorders>
              <w:top w:val="nil"/>
              <w:left w:val="nil"/>
              <w:bottom w:val="nil"/>
              <w:right w:val="nil"/>
            </w:tcBorders>
          </w:tcPr>
          <w:p>
            <w:pPr>
              <w:pStyle w:val="0"/>
            </w:pPr>
            <w:r>
              <w:rPr>
                <w:sz w:val="24"/>
              </w:rPr>
            </w:r>
          </w:p>
        </w:tc>
      </w:tr>
      <w:tr>
        <w:tc>
          <w:tcPr>
            <w:tcW w:w="3912" w:type="dxa"/>
            <w:tcBorders>
              <w:top w:val="single" w:sz="4"/>
              <w:left w:val="nil"/>
              <w:bottom w:val="nil"/>
              <w:right w:val="nil"/>
            </w:tcBorders>
          </w:tcPr>
          <w:p>
            <w:pPr>
              <w:pStyle w:val="0"/>
              <w:jc w:val="center"/>
            </w:pPr>
            <w:r>
              <w:rPr>
                <w:sz w:val="24"/>
              </w:rPr>
              <w:t xml:space="preserve">(Фамилия Имя Отчество)</w:t>
            </w:r>
          </w:p>
        </w:tc>
        <w:tc>
          <w:tcPr>
            <w:tcW w:w="340" w:type="dxa"/>
            <w:tcBorders>
              <w:top w:val="nil"/>
              <w:left w:val="nil"/>
              <w:bottom w:val="nil"/>
              <w:right w:val="nil"/>
            </w:tcBorders>
          </w:tcPr>
          <w:p>
            <w:pPr>
              <w:pStyle w:val="0"/>
            </w:pPr>
            <w:r>
              <w:rPr>
                <w:sz w:val="24"/>
              </w:rPr>
            </w:r>
          </w:p>
        </w:tc>
        <w:tc>
          <w:tcPr>
            <w:tcW w:w="2778" w:type="dxa"/>
            <w:tcBorders>
              <w:top w:val="single" w:sz="4"/>
              <w:left w:val="nil"/>
              <w:bottom w:val="nil"/>
              <w:right w:val="nil"/>
            </w:tcBorders>
          </w:tcPr>
          <w:p>
            <w:pPr>
              <w:pStyle w:val="0"/>
              <w:jc w:val="center"/>
            </w:pPr>
            <w:r>
              <w:rPr>
                <w:sz w:val="24"/>
              </w:rPr>
              <w:t xml:space="preserve">(Подпись)</w:t>
            </w:r>
          </w:p>
        </w:tc>
        <w:tc>
          <w:tcPr>
            <w:tcW w:w="340" w:type="dxa"/>
            <w:tcBorders>
              <w:top w:val="nil"/>
              <w:left w:val="nil"/>
              <w:bottom w:val="nil"/>
              <w:right w:val="nil"/>
            </w:tcBorders>
          </w:tcPr>
          <w:p>
            <w:pPr>
              <w:pStyle w:val="0"/>
            </w:pPr>
            <w:r>
              <w:rPr>
                <w:sz w:val="24"/>
              </w:rPr>
            </w:r>
          </w:p>
        </w:tc>
        <w:tc>
          <w:tcPr>
            <w:tcW w:w="1247" w:type="dxa"/>
            <w:tcBorders>
              <w:top w:val="single" w:sz="4"/>
              <w:left w:val="nil"/>
              <w:bottom w:val="nil"/>
              <w:right w:val="nil"/>
            </w:tcBorders>
          </w:tcPr>
          <w:p>
            <w:pPr>
              <w:pStyle w:val="0"/>
              <w:jc w:val="center"/>
            </w:pPr>
            <w:r>
              <w:rPr>
                <w:sz w:val="24"/>
              </w:rPr>
              <w:t xml:space="preserve">(Дата)</w:t>
            </w:r>
          </w:p>
        </w:tc>
        <w:tc>
          <w:tcPr>
            <w:tcW w:w="454" w:type="dxa"/>
            <w:tcBorders>
              <w:top w:val="nil"/>
              <w:left w:val="nil"/>
              <w:bottom w:val="nil"/>
              <w:right w:val="nil"/>
            </w:tcBorders>
          </w:tcPr>
          <w:p>
            <w:pPr>
              <w:pStyle w:val="0"/>
            </w:pPr>
            <w:r>
              <w:rPr>
                <w:sz w:val="24"/>
              </w:rPr>
            </w:r>
          </w:p>
        </w:tc>
      </w:tr>
      <w:tr>
        <w:tc>
          <w:tcPr>
            <w:gridSpan w:val="6"/>
            <w:tcW w:w="9071" w:type="dxa"/>
            <w:tcBorders>
              <w:top w:val="nil"/>
              <w:left w:val="nil"/>
              <w:bottom w:val="nil"/>
              <w:right w:val="nil"/>
            </w:tcBorders>
          </w:tcPr>
          <w:p>
            <w:pPr>
              <w:pStyle w:val="0"/>
            </w:pPr>
            <w:r>
              <w:rPr>
                <w:sz w:val="24"/>
              </w:rPr>
            </w:r>
          </w:p>
        </w:tc>
      </w:tr>
      <w:tr>
        <w:tc>
          <w:tcPr>
            <w:gridSpan w:val="6"/>
            <w:tcW w:w="9071" w:type="dxa"/>
            <w:tcBorders>
              <w:top w:val="nil"/>
              <w:left w:val="nil"/>
              <w:bottom w:val="nil"/>
              <w:right w:val="nil"/>
            </w:tcBorders>
          </w:tcPr>
          <w:p>
            <w:pPr>
              <w:pStyle w:val="0"/>
            </w:pPr>
            <w:r>
              <w:rPr>
                <w:sz w:val="24"/>
              </w:rPr>
              <w:t xml:space="preserve">М.П.</w:t>
            </w:r>
          </w:p>
        </w:tc>
      </w:tr>
    </w:tbl>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Приложение 4</w:t>
      </w:r>
    </w:p>
    <w:p>
      <w:pPr>
        <w:pStyle w:val="0"/>
        <w:jc w:val="right"/>
      </w:pPr>
      <w:r>
        <w:rPr>
          <w:sz w:val="24"/>
        </w:rPr>
        <w:t xml:space="preserve">к МР 2.6.1.0257-21</w:t>
      </w:r>
    </w:p>
    <w:p>
      <w:pPr>
        <w:pStyle w:val="0"/>
        <w:jc w:val="both"/>
      </w:pPr>
      <w:r>
        <w:rPr>
          <w:sz w:val="24"/>
        </w:rPr>
      </w:r>
    </w:p>
    <w:bookmarkStart w:id="2174" w:name="P2174"/>
    <w:bookmarkEnd w:id="2174"/>
    <w:p>
      <w:pPr>
        <w:pStyle w:val="2"/>
        <w:jc w:val="center"/>
      </w:pPr>
      <w:r>
        <w:rPr>
          <w:sz w:val="24"/>
        </w:rPr>
        <w:t xml:space="preserve">ИНСТРУКЦИЯ</w:t>
      </w:r>
    </w:p>
    <w:p>
      <w:pPr>
        <w:pStyle w:val="2"/>
        <w:jc w:val="center"/>
      </w:pPr>
      <w:r>
        <w:rPr>
          <w:sz w:val="24"/>
        </w:rPr>
        <w:t xml:space="preserve">ПО ЗАПОЛНЕНИЮ РАДИАЦИОННО-ГИГИЕНИЧЕСКОГО ПАСПОРТА ТЕРРИТОРИИ</w:t>
      </w:r>
    </w:p>
    <w:p>
      <w:pPr>
        <w:pStyle w:val="0"/>
        <w:jc w:val="both"/>
      </w:pPr>
      <w:r>
        <w:rPr>
          <w:sz w:val="24"/>
        </w:rPr>
      </w:r>
    </w:p>
    <w:p>
      <w:pPr>
        <w:pStyle w:val="0"/>
        <w:ind w:firstLine="540"/>
        <w:jc w:val="both"/>
      </w:pPr>
      <w:r>
        <w:rPr>
          <w:sz w:val="24"/>
        </w:rPr>
        <w:t xml:space="preserve">1. В соответствующие графы РГПТ (</w:t>
      </w:r>
      <w:hyperlink w:history="0" w:anchor="P1084" w:tooltip="ФОРМА РАДИАЦИОННО-ГИГИЕНИЧЕСКОГО ПАСПОРТА ТЕРРИТОРИИ">
        <w:r>
          <w:rPr>
            <w:sz w:val="24"/>
            <w:color w:val="0000ff"/>
          </w:rPr>
          <w:t xml:space="preserve">приложение 2</w:t>
        </w:r>
      </w:hyperlink>
      <w:r>
        <w:rPr>
          <w:sz w:val="24"/>
        </w:rPr>
        <w:t xml:space="preserve"> к настоящим МР) заносят:</w:t>
      </w:r>
    </w:p>
    <w:p>
      <w:pPr>
        <w:pStyle w:val="0"/>
        <w:spacing w:before="240" w:lineRule="auto"/>
        <w:ind w:firstLine="540"/>
        <w:jc w:val="both"/>
      </w:pPr>
      <w:r>
        <w:rPr>
          <w:sz w:val="24"/>
        </w:rPr>
        <w:t xml:space="preserve">- полное официальное название субъекта Российской Федерации или территории;</w:t>
      </w:r>
    </w:p>
    <w:p>
      <w:pPr>
        <w:pStyle w:val="0"/>
        <w:spacing w:before="240" w:lineRule="auto"/>
        <w:ind w:firstLine="540"/>
        <w:jc w:val="both"/>
      </w:pPr>
      <w:r>
        <w:rPr>
          <w:sz w:val="24"/>
        </w:rPr>
        <w:t xml:space="preserve">- официальные статистические данные о численности населения территории в отчетном году (тыс. чел. с одним знаком после запятой);</w:t>
      </w:r>
    </w:p>
    <w:p>
      <w:pPr>
        <w:pStyle w:val="0"/>
        <w:spacing w:before="240" w:lineRule="auto"/>
        <w:ind w:firstLine="540"/>
        <w:jc w:val="both"/>
      </w:pPr>
      <w:r>
        <w:rPr>
          <w:sz w:val="24"/>
        </w:rPr>
        <w:t xml:space="preserve">- официальная информация о площади территории субъекта Российской Федерации или территории (тыс. кв. км. с двумя знаками после запятой);</w:t>
      </w:r>
    </w:p>
    <w:p>
      <w:pPr>
        <w:pStyle w:val="0"/>
        <w:spacing w:before="240" w:lineRule="auto"/>
        <w:ind w:firstLine="540"/>
        <w:jc w:val="both"/>
      </w:pPr>
      <w:r>
        <w:rPr>
          <w:sz w:val="24"/>
        </w:rPr>
        <w:t xml:space="preserve">- номера телефона и факса администрации территории (субъекта РФ) с кодом населенного пункта и адрес ее электронной почты;</w:t>
      </w:r>
    </w:p>
    <w:p>
      <w:pPr>
        <w:pStyle w:val="0"/>
        <w:spacing w:before="240" w:lineRule="auto"/>
        <w:ind w:firstLine="540"/>
        <w:jc w:val="both"/>
      </w:pPr>
      <w:r>
        <w:rPr>
          <w:sz w:val="24"/>
        </w:rPr>
        <w:t xml:space="preserve">- вэб-сайт администрации субъекта Российской Федерации или территории.</w:t>
      </w:r>
    </w:p>
    <w:p>
      <w:pPr>
        <w:pStyle w:val="0"/>
        <w:spacing w:before="240" w:lineRule="auto"/>
        <w:ind w:firstLine="540"/>
        <w:jc w:val="both"/>
      </w:pPr>
      <w:r>
        <w:rPr>
          <w:sz w:val="24"/>
        </w:rPr>
        <w:t xml:space="preserve">2. В </w:t>
      </w:r>
      <w:hyperlink w:history="0" w:anchor="P1109" w:tooltip="N п/п">
        <w:r>
          <w:rPr>
            <w:sz w:val="24"/>
            <w:color w:val="0000ff"/>
          </w:rPr>
          <w:t xml:space="preserve">таблицу</w:t>
        </w:r>
      </w:hyperlink>
      <w:r>
        <w:rPr>
          <w:sz w:val="24"/>
        </w:rPr>
        <w:t xml:space="preserve"> пункта 1 РГПТ для каждого из перечисленных видов организаций заносят следующие сведения о всех расположенных на территории организациях, осуществляющих деятельность с техногенными ИИИ:</w:t>
      </w:r>
    </w:p>
    <w:p>
      <w:pPr>
        <w:pStyle w:val="0"/>
        <w:spacing w:before="240" w:lineRule="auto"/>
        <w:ind w:firstLine="540"/>
        <w:jc w:val="both"/>
      </w:pPr>
      <w:r>
        <w:rPr>
          <w:sz w:val="24"/>
        </w:rPr>
        <w:t xml:space="preserve">полное число организаций данного вида на территории;</w:t>
      </w:r>
    </w:p>
    <w:p>
      <w:pPr>
        <w:pStyle w:val="0"/>
        <w:spacing w:before="240" w:lineRule="auto"/>
        <w:ind w:firstLine="540"/>
        <w:jc w:val="both"/>
      </w:pPr>
      <w:r>
        <w:rPr>
          <w:sz w:val="24"/>
        </w:rPr>
        <w:t xml:space="preserve">число организаций данного вида на территории, относящихся к I, II, III и IV категории потенциальной радиационной опасности &lt;45&gt;;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&lt;45&gt; </w:t>
      </w:r>
      <w:hyperlink w:history="0" r:id="rId67" w:tooltip="Постановление Главного государственного санитарного врача РФ от 26.04.2010 N 40 (ред. от 16.09.2013) &quot;Об утверждении СП 2.6.1.2612-10 &quot;Основные санитарные правила обеспечения радиационной безопасности (ОСПОРБ-99/2010)&quot; (вместе с &quot;СП 2.6.1.2612-10. ОСПОРБ-99/2010. Санитарные правила и нормативы...&quot;) (Зарегистрировано в Минюсте России 11.08.2010 N 18115) {КонсультантПлюс}">
        <w:r>
          <w:rPr>
            <w:sz w:val="24"/>
            <w:color w:val="0000ff"/>
          </w:rPr>
          <w:t xml:space="preserve">Пункт 3.1</w:t>
        </w:r>
      </w:hyperlink>
      <w:r>
        <w:rPr>
          <w:sz w:val="24"/>
        </w:rPr>
        <w:t xml:space="preserve"> ОСПОРБ-99/2010.</w:t>
      </w:r>
    </w:p>
    <w:p>
      <w:pPr>
        <w:pStyle w:val="0"/>
        <w:jc w:val="both"/>
      </w:pPr>
      <w:r>
        <w:rPr>
          <w:sz w:val="24"/>
        </w:rPr>
      </w:r>
    </w:p>
    <w:p>
      <w:pPr>
        <w:pStyle w:val="0"/>
        <w:ind w:firstLine="540"/>
        <w:jc w:val="both"/>
      </w:pPr>
      <w:r>
        <w:rPr>
          <w:sz w:val="24"/>
        </w:rPr>
        <w:t xml:space="preserve">численность персонала группы А &lt;46&gt; в организациях каждого вида;</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&lt;46&gt; </w:t>
      </w:r>
      <w:hyperlink w:history="0" r:id="rId68" w:tooltip="Постановление Главного государственного санитарного врача РФ от 07.07.2009 N 47 &quot;Об утверждении СанПиН 2.6.1.2523-09&quot; (вместе с &quot;НРБ-99/2009. СанПиН 2.6.1.2523-09. Нормы радиационной безопасности. Санитарные правила и нормативы&quot;) (Зарегистрировано в Минюсте РФ 14.08.2009 N 14534) {КонсультантПлюс}">
        <w:r>
          <w:rPr>
            <w:sz w:val="24"/>
            <w:color w:val="0000ff"/>
          </w:rPr>
          <w:t xml:space="preserve">Пункт 48</w:t>
        </w:r>
      </w:hyperlink>
      <w:r>
        <w:rPr>
          <w:sz w:val="24"/>
        </w:rPr>
        <w:t xml:space="preserve"> приложения 7 к НРБ-99/2009.</w:t>
      </w:r>
    </w:p>
    <w:p>
      <w:pPr>
        <w:pStyle w:val="0"/>
        <w:jc w:val="both"/>
      </w:pPr>
      <w:r>
        <w:rPr>
          <w:sz w:val="24"/>
        </w:rPr>
      </w:r>
    </w:p>
    <w:p>
      <w:pPr>
        <w:pStyle w:val="0"/>
        <w:ind w:firstLine="540"/>
        <w:jc w:val="both"/>
      </w:pPr>
      <w:r>
        <w:rPr>
          <w:sz w:val="24"/>
        </w:rPr>
        <w:t xml:space="preserve">численность персонала группы Б в организациях каждого вида;</w:t>
      </w:r>
    </w:p>
    <w:p>
      <w:pPr>
        <w:pStyle w:val="0"/>
        <w:spacing w:before="240" w:lineRule="auto"/>
        <w:ind w:firstLine="540"/>
        <w:jc w:val="both"/>
      </w:pPr>
      <w:r>
        <w:rPr>
          <w:sz w:val="24"/>
        </w:rPr>
        <w:t xml:space="preserve">численность всего персонала в организациях каждого вида.</w:t>
      </w:r>
    </w:p>
    <w:p>
      <w:pPr>
        <w:pStyle w:val="0"/>
        <w:spacing w:before="240" w:lineRule="auto"/>
        <w:ind w:firstLine="540"/>
        <w:jc w:val="both"/>
      </w:pPr>
      <w:r>
        <w:rPr>
          <w:sz w:val="24"/>
        </w:rPr>
        <w:t xml:space="preserve">В последнюю строку заносят суммарные данные обо всех расположенных на территории организациях, осуществляющих деятельность с техногенными ИИИ. Их получают суммированием соответствующих значений по столбцам. Информация, заносимая в </w:t>
      </w:r>
      <w:hyperlink w:history="0" w:anchor="P1109" w:tooltip="N п/п">
        <w:r>
          <w:rPr>
            <w:sz w:val="24"/>
            <w:color w:val="0000ff"/>
          </w:rPr>
          <w:t xml:space="preserve">таблицу</w:t>
        </w:r>
      </w:hyperlink>
      <w:r>
        <w:rPr>
          <w:sz w:val="24"/>
        </w:rPr>
        <w:t xml:space="preserve"> пункта 1 РГПТ, получается обобщением соответствующих данных из РГПО, осуществляющих обращение с техногенными ИИИ на территории субъекта Российской Федерации. В программном обеспечении данная процедура выполняется автоматически.</w:t>
      </w:r>
    </w:p>
    <w:p>
      <w:pPr>
        <w:pStyle w:val="0"/>
        <w:spacing w:before="240" w:lineRule="auto"/>
        <w:ind w:firstLine="540"/>
        <w:jc w:val="both"/>
      </w:pPr>
      <w:r>
        <w:rPr>
          <w:sz w:val="24"/>
        </w:rPr>
        <w:t xml:space="preserve">3. В </w:t>
      </w:r>
      <w:hyperlink w:history="0" w:anchor="P1225" w:tooltip="Виды &lt;1&gt; организаций">
        <w:r>
          <w:rPr>
            <w:sz w:val="24"/>
            <w:color w:val="0000ff"/>
          </w:rPr>
          <w:t xml:space="preserve">таблицу</w:t>
        </w:r>
      </w:hyperlink>
      <w:r>
        <w:rPr>
          <w:sz w:val="24"/>
        </w:rPr>
        <w:t xml:space="preserve"> пункта 2 РГПТ для каждого из имеющихся на территории видов организаций, осуществляющих деятельность с техногенными ИИИ, заносится информация о числе установок с ИИИ различного типа в организациях данного вида. Виды организаций и типы установок в </w:t>
      </w:r>
      <w:hyperlink w:history="0" w:anchor="P1225" w:tooltip="Виды &lt;1&gt; организаций">
        <w:r>
          <w:rPr>
            <w:sz w:val="24"/>
            <w:color w:val="0000ff"/>
          </w:rPr>
          <w:t xml:space="preserve">таблице</w:t>
        </w:r>
      </w:hyperlink>
      <w:r>
        <w:rPr>
          <w:sz w:val="24"/>
        </w:rPr>
        <w:t xml:space="preserve"> закодированы номерами. Номера в первом столбце таблицы соответствуют видам организаций, расположенным под теми же номерами в </w:t>
      </w:r>
      <w:hyperlink w:history="0" w:anchor="P1109" w:tooltip="N п/п">
        <w:r>
          <w:rPr>
            <w:sz w:val="24"/>
            <w:color w:val="0000ff"/>
          </w:rPr>
          <w:t xml:space="preserve">таблице</w:t>
        </w:r>
      </w:hyperlink>
      <w:r>
        <w:rPr>
          <w:sz w:val="24"/>
        </w:rPr>
        <w:t xml:space="preserve"> пункта 1 РГПТ. Кодировка типов установок с техногенными ИИИ представлена в примечании к </w:t>
      </w:r>
      <w:hyperlink w:history="0" w:anchor="P1225" w:tooltip="Виды &lt;1&gt; организаций">
        <w:r>
          <w:rPr>
            <w:sz w:val="24"/>
            <w:color w:val="0000ff"/>
          </w:rPr>
          <w:t xml:space="preserve">таблице</w:t>
        </w:r>
      </w:hyperlink>
      <w:r>
        <w:rPr>
          <w:sz w:val="24"/>
        </w:rPr>
        <w:t xml:space="preserve"> пункта 2 РГПТ.</w:t>
      </w:r>
    </w:p>
    <w:p>
      <w:pPr>
        <w:pStyle w:val="0"/>
        <w:spacing w:before="240" w:lineRule="auto"/>
        <w:ind w:firstLine="540"/>
        <w:jc w:val="both"/>
      </w:pPr>
      <w:r>
        <w:rPr>
          <w:sz w:val="24"/>
        </w:rPr>
        <w:t xml:space="preserve">Информация, заносимая в </w:t>
      </w:r>
      <w:hyperlink w:history="0" w:anchor="P1225" w:tooltip="Виды &lt;1&gt; организаций">
        <w:r>
          <w:rPr>
            <w:sz w:val="24"/>
            <w:color w:val="0000ff"/>
          </w:rPr>
          <w:t xml:space="preserve">таблицу</w:t>
        </w:r>
      </w:hyperlink>
      <w:r>
        <w:rPr>
          <w:sz w:val="24"/>
        </w:rPr>
        <w:t xml:space="preserve"> пункта 2 РГПТ, получается обобщением данных, содержащихся в полученных РГПО, осуществляющих деятельность с техногенными ИИИ на территории субъекта Российской Федерации. В программном обеспечении данная процедура выполняется автоматически.</w:t>
      </w:r>
    </w:p>
    <w:p>
      <w:pPr>
        <w:pStyle w:val="0"/>
        <w:spacing w:before="240" w:lineRule="auto"/>
        <w:ind w:firstLine="540"/>
        <w:jc w:val="both"/>
      </w:pPr>
      <w:r>
        <w:rPr>
          <w:sz w:val="24"/>
        </w:rPr>
        <w:t xml:space="preserve">4. В первый раздел </w:t>
      </w:r>
      <w:hyperlink w:history="0" w:anchor="P1480" w:tooltip="Радионуклиды">
        <w:r>
          <w:rPr>
            <w:sz w:val="24"/>
            <w:color w:val="0000ff"/>
          </w:rPr>
          <w:t xml:space="preserve">таблицы</w:t>
        </w:r>
      </w:hyperlink>
      <w:r>
        <w:rPr>
          <w:sz w:val="24"/>
        </w:rPr>
        <w:t xml:space="preserve"> пункта 3.1 РГПТ для радионуклидов </w:t>
      </w:r>
      <w:r>
        <w:rPr>
          <w:sz w:val="24"/>
          <w:vertAlign w:val="superscript"/>
        </w:rPr>
        <w:t xml:space="preserve">137</w:t>
      </w:r>
      <w:r>
        <w:rPr>
          <w:sz w:val="24"/>
        </w:rPr>
        <w:t xml:space="preserve">Cs и </w:t>
      </w:r>
      <w:r>
        <w:rPr>
          <w:sz w:val="24"/>
          <w:vertAlign w:val="superscript"/>
        </w:rPr>
        <w:t xml:space="preserve">90</w:t>
      </w:r>
      <w:r>
        <w:rPr>
          <w:sz w:val="24"/>
        </w:rPr>
        <w:t xml:space="preserve">Sr заносят среднее и максимальное для данной территории значения поверхностной активности радионуклида в почве (кБк/м</w:t>
      </w:r>
      <w:r>
        <w:rPr>
          <w:sz w:val="24"/>
          <w:vertAlign w:val="superscript"/>
        </w:rPr>
        <w:t xml:space="preserve">2</w:t>
      </w:r>
      <w:r>
        <w:rPr>
          <w:sz w:val="24"/>
        </w:rPr>
        <w:t xml:space="preserve">). Их берут из официальных данных Федеральной службы по гидрометеорологии и мониторингу окружающей среды &lt;47&gt;. Информация о числе исследованных проб в этот </w:t>
      </w:r>
      <w:hyperlink w:history="0" w:anchor="P1478" w:tooltip="3.1. Поверхностная активность техногенных радионуклидов в почве, кБк/м2">
        <w:r>
          <w:rPr>
            <w:sz w:val="24"/>
            <w:color w:val="0000ff"/>
          </w:rPr>
          <w:t xml:space="preserve">раздел</w:t>
        </w:r>
      </w:hyperlink>
      <w:r>
        <w:rPr>
          <w:sz w:val="24"/>
        </w:rPr>
        <w:t xml:space="preserve"> не заносится.</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&lt;47&gt; Ежегодник ФГБУ "НПО "ТАЙФУН" "Данные по радиационному загрязнению территорий населенных пунктов Российской Федерации цезием-137, стронцием-90 и плутонием -239+240". Ежегодник ФГБУ "НПО "ТАЙФУН" "Радиационная обстановка на территории России и сопредельных государств". Размещены на официальном сайте НПО "Тайфун" www.rpatyphoon.ru/products/pollution-media.php (в свободном доступе).</w:t>
      </w:r>
    </w:p>
    <w:p>
      <w:pPr>
        <w:pStyle w:val="0"/>
        <w:jc w:val="both"/>
      </w:pPr>
      <w:r>
        <w:rPr>
          <w:sz w:val="24"/>
        </w:rPr>
      </w:r>
    </w:p>
    <w:p>
      <w:pPr>
        <w:pStyle w:val="0"/>
        <w:ind w:firstLine="540"/>
        <w:jc w:val="both"/>
      </w:pPr>
      <w:r>
        <w:rPr>
          <w:sz w:val="24"/>
        </w:rPr>
        <w:t xml:space="preserve">При наличии результатов, проведенных в отчетном году измерений поверхностной активности техногенных радионуклидов в почве в СЗЗ радиационных объектов, эти данные приводят во втором разделе </w:t>
      </w:r>
      <w:hyperlink w:history="0" w:anchor="P1480" w:tooltip="Радионуклиды">
        <w:r>
          <w:rPr>
            <w:sz w:val="24"/>
            <w:color w:val="0000ff"/>
          </w:rPr>
          <w:t xml:space="preserve">таблицы 3.1</w:t>
        </w:r>
      </w:hyperlink>
      <w:r>
        <w:rPr>
          <w:sz w:val="24"/>
        </w:rPr>
        <w:t xml:space="preserve">.</w:t>
      </w:r>
    </w:p>
    <w:p>
      <w:pPr>
        <w:pStyle w:val="0"/>
        <w:spacing w:before="240" w:lineRule="auto"/>
        <w:ind w:firstLine="540"/>
        <w:jc w:val="both"/>
      </w:pPr>
      <w:r>
        <w:rPr>
          <w:sz w:val="24"/>
        </w:rPr>
        <w:t xml:space="preserve">5. В первый раздел </w:t>
      </w:r>
      <w:hyperlink w:history="0" w:anchor="P1505" w:tooltip="Радионуклиды">
        <w:r>
          <w:rPr>
            <w:sz w:val="24"/>
            <w:color w:val="0000ff"/>
          </w:rPr>
          <w:t xml:space="preserve">таблицы</w:t>
        </w:r>
      </w:hyperlink>
      <w:r>
        <w:rPr>
          <w:sz w:val="24"/>
        </w:rPr>
        <w:t xml:space="preserve"> пункта 3.2 РГПТ заносят число исследованных проб атмосферного воздуха на суммарную бета-активность, среднее и максимальное по субъекту РФ значение суммарной бета-активности атмосферного воздуха. При наличии данных по объемной активности отдельных техногенных радионуклидов в воздухе СЗЗ и ЗН радиационных объектов, а также суммарной объемной бета-активности эти данные заносят в соответствующие разделы </w:t>
      </w:r>
      <w:hyperlink w:history="0" w:anchor="P1505" w:tooltip="Радионуклиды">
        <w:r>
          <w:rPr>
            <w:sz w:val="24"/>
            <w:color w:val="0000ff"/>
          </w:rPr>
          <w:t xml:space="preserve">таблицы</w:t>
        </w:r>
      </w:hyperlink>
      <w:r>
        <w:rPr>
          <w:sz w:val="24"/>
        </w:rPr>
        <w:t xml:space="preserve"> пункта 3.2. Для каждого из контролируемых радионуклидов заносят следующие параметры: число проведенных измерений, среднее и максимальное значения результатов измерений объемной активности радионуклидов в воздухе (Бк/м</w:t>
      </w:r>
      <w:r>
        <w:rPr>
          <w:sz w:val="24"/>
          <w:vertAlign w:val="superscript"/>
        </w:rPr>
        <w:t xml:space="preserve">3</w:t>
      </w:r>
      <w:r>
        <w:rPr>
          <w:sz w:val="24"/>
        </w:rPr>
        <w:t xml:space="preserve">).</w:t>
      </w:r>
    </w:p>
    <w:p>
      <w:pPr>
        <w:pStyle w:val="0"/>
        <w:spacing w:before="240" w:lineRule="auto"/>
        <w:ind w:firstLine="540"/>
        <w:jc w:val="both"/>
      </w:pPr>
      <w:r>
        <w:rPr>
          <w:sz w:val="24"/>
        </w:rPr>
        <w:t xml:space="preserve">Данные по объемной активности отдельным радионуклидов в воздухе СЗЗ и ЗН радиационных объектов берут из РГПО этих объектов.</w:t>
      </w:r>
    </w:p>
    <w:p>
      <w:pPr>
        <w:pStyle w:val="0"/>
        <w:spacing w:before="240" w:lineRule="auto"/>
        <w:ind w:firstLine="540"/>
        <w:jc w:val="both"/>
      </w:pPr>
      <w:r>
        <w:rPr>
          <w:sz w:val="24"/>
        </w:rPr>
        <w:t xml:space="preserve">6. В первый раздел </w:t>
      </w:r>
      <w:hyperlink w:history="0" w:anchor="P1543" w:tooltip="Радионуклиды">
        <w:r>
          <w:rPr>
            <w:sz w:val="24"/>
            <w:color w:val="0000ff"/>
          </w:rPr>
          <w:t xml:space="preserve">таблицы</w:t>
        </w:r>
      </w:hyperlink>
      <w:r>
        <w:rPr>
          <w:sz w:val="24"/>
        </w:rPr>
        <w:t xml:space="preserve"> пункта 3.3 РГПТ заносят число исследованных проб воды открытых водоемов на САА и СБА, средние и максимальные по субъекту Российской Федерации значения САА и СБА воды открытых водоемов (Бк/кг). При наличии информации о содержании техногенных радионуклидов в воде открытых водоемов, расположенных в СЗЗ радиационных объектов, а также о ее САА и СБА, эту информацию заносят в соответствующий раздел </w:t>
      </w:r>
      <w:hyperlink w:history="0" w:anchor="P1543" w:tooltip="Радионуклиды">
        <w:r>
          <w:rPr>
            <w:sz w:val="24"/>
            <w:color w:val="0000ff"/>
          </w:rPr>
          <w:t xml:space="preserve">таблицы 3.3</w:t>
        </w:r>
      </w:hyperlink>
      <w:r>
        <w:rPr>
          <w:sz w:val="24"/>
        </w:rPr>
        <w:t xml:space="preserve">. Для каждого из контролируемых радионуклидов заносят следующую информацию: число исследованных проб, среднее и максимальное значения результатов измерений удельной активности радионуклидов в пробах воды открытых водоемов (Бк/кг).</w:t>
      </w:r>
    </w:p>
    <w:p>
      <w:pPr>
        <w:pStyle w:val="0"/>
        <w:spacing w:before="240" w:lineRule="auto"/>
        <w:ind w:firstLine="540"/>
        <w:jc w:val="both"/>
      </w:pPr>
      <w:r>
        <w:rPr>
          <w:sz w:val="24"/>
        </w:rPr>
        <w:t xml:space="preserve">7. В </w:t>
      </w:r>
      <w:hyperlink w:history="0" w:anchor="P1581" w:tooltip="Суммарная -активность">
        <w:r>
          <w:rPr>
            <w:sz w:val="24"/>
            <w:color w:val="0000ff"/>
          </w:rPr>
          <w:t xml:space="preserve">таблицу</w:t>
        </w:r>
      </w:hyperlink>
      <w:r>
        <w:rPr>
          <w:sz w:val="24"/>
        </w:rPr>
        <w:t xml:space="preserve"> пункта 3.4 РГПТ для каждого из контролируемых радионуклидов, а также для САА и СБА в исследованных пробах питьевой воды заносят:</w:t>
      </w:r>
    </w:p>
    <w:p>
      <w:pPr>
        <w:pStyle w:val="0"/>
        <w:spacing w:before="240" w:lineRule="auto"/>
        <w:ind w:firstLine="540"/>
        <w:jc w:val="both"/>
      </w:pPr>
      <w:r>
        <w:rPr>
          <w:sz w:val="24"/>
        </w:rPr>
        <w:t xml:space="preserve">- число исследованных проб;</w:t>
      </w:r>
    </w:p>
    <w:p>
      <w:pPr>
        <w:pStyle w:val="0"/>
        <w:spacing w:before="240" w:lineRule="auto"/>
        <w:ind w:firstLine="540"/>
        <w:jc w:val="both"/>
      </w:pPr>
      <w:r>
        <w:rPr>
          <w:sz w:val="24"/>
        </w:rPr>
        <w:t xml:space="preserve">- из них число проб с превышением контрольных уровней предварительной оценки по суммарным показателям или с превышением УВ для радионуклидов &lt;48&gt;;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&lt;48&gt; </w:t>
      </w:r>
      <w:hyperlink w:history="0" r:id="rId69" w:tooltip="Постановление Главного государственного санитарного врача РФ от 07.07.2009 N 47 &quot;Об утверждении СанПиН 2.6.1.2523-09&quot; (вместе с &quot;НРБ-99/2009. СанПиН 2.6.1.2523-09. Нормы радиационной безопасности. Санитарные правила и нормативы&quot;) (Зарегистрировано в Минюсте РФ 14.08.2009 N 14534) {КонсультантПлюс}">
        <w:r>
          <w:rPr>
            <w:sz w:val="24"/>
            <w:color w:val="0000ff"/>
          </w:rPr>
          <w:t xml:space="preserve">Приложение 2а</w:t>
        </w:r>
      </w:hyperlink>
      <w:r>
        <w:rPr>
          <w:sz w:val="24"/>
        </w:rPr>
        <w:t xml:space="preserve"> к НРБ-99/2009.</w:t>
      </w:r>
    </w:p>
    <w:p>
      <w:pPr>
        <w:pStyle w:val="0"/>
        <w:jc w:val="both"/>
      </w:pPr>
      <w:r>
        <w:rPr>
          <w:sz w:val="24"/>
        </w:rPr>
      </w:r>
    </w:p>
    <w:p>
      <w:pPr>
        <w:pStyle w:val="0"/>
        <w:ind w:firstLine="540"/>
        <w:jc w:val="both"/>
      </w:pPr>
      <w:r>
        <w:rPr>
          <w:sz w:val="24"/>
        </w:rPr>
        <w:t xml:space="preserve">- средние и максимальные значения удельных активностей (Бк/кг).</w:t>
      </w:r>
    </w:p>
    <w:p>
      <w:pPr>
        <w:pStyle w:val="0"/>
        <w:spacing w:before="240" w:lineRule="auto"/>
        <w:ind w:firstLine="540"/>
        <w:jc w:val="both"/>
      </w:pPr>
      <w:r>
        <w:rPr>
          <w:sz w:val="24"/>
        </w:rPr>
        <w:t xml:space="preserve">В последнем столбце для двух последних строк указывается среднее и максимальное значения суммы отношений удельных активностей радионуклидов к их уровням вмешательства в исследованных пробах, а в третьей строке - число проб, для которых вышеуказанная сумма отношений превышает 1.</w:t>
      </w:r>
    </w:p>
    <w:p>
      <w:pPr>
        <w:pStyle w:val="0"/>
        <w:spacing w:before="240" w:lineRule="auto"/>
        <w:ind w:firstLine="540"/>
        <w:jc w:val="both"/>
      </w:pPr>
      <w:r>
        <w:rPr>
          <w:sz w:val="24"/>
        </w:rPr>
        <w:t xml:space="preserve">Численные значения заносимых в </w:t>
      </w:r>
      <w:hyperlink w:history="0" w:anchor="P1581" w:tooltip="Суммарная -активность">
        <w:r>
          <w:rPr>
            <w:sz w:val="24"/>
            <w:color w:val="0000ff"/>
          </w:rPr>
          <w:t xml:space="preserve">таблицу 3.4</w:t>
        </w:r>
      </w:hyperlink>
      <w:r>
        <w:rPr>
          <w:sz w:val="24"/>
        </w:rPr>
        <w:t xml:space="preserve"> РГПТ параметров получаются на основе результатов измерений проб воды из используемых источников питьевого водоснабжения, выполненных ЛРК &lt;49&gt;.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&lt;49&gt; Федеральный </w:t>
      </w:r>
      <w:hyperlink w:history="0" r:id="rId70" w:tooltip="Федеральный закон от 28.12.2013 N 412-ФЗ (ред. от 31.07.2025) &quot;Об аккредитации в национальной системе аккредитации&quot; {КонсультантПлюс}">
        <w:r>
          <w:rPr>
            <w:sz w:val="24"/>
            <w:color w:val="0000ff"/>
          </w:rPr>
          <w:t xml:space="preserve">закон</w:t>
        </w:r>
      </w:hyperlink>
      <w:r>
        <w:rPr>
          <w:sz w:val="24"/>
        </w:rPr>
        <w:t xml:space="preserve"> от 28.12.2013 N 412-ФЗ.</w:t>
      </w:r>
    </w:p>
    <w:p>
      <w:pPr>
        <w:pStyle w:val="0"/>
        <w:jc w:val="both"/>
      </w:pPr>
      <w:r>
        <w:rPr>
          <w:sz w:val="24"/>
        </w:rPr>
      </w:r>
    </w:p>
    <w:p>
      <w:pPr>
        <w:pStyle w:val="0"/>
        <w:ind w:firstLine="540"/>
        <w:jc w:val="both"/>
      </w:pPr>
      <w:r>
        <w:rPr>
          <w:sz w:val="24"/>
        </w:rPr>
        <w:t xml:space="preserve">8. Величины, необходимые для заполнения таблиц </w:t>
      </w:r>
      <w:hyperlink w:history="0" w:anchor="P1503" w:tooltip="3.2. Объемная активность радиоактивных веществ в атмосферном воздухе, Бк/м3">
        <w:r>
          <w:rPr>
            <w:sz w:val="24"/>
            <w:color w:val="0000ff"/>
          </w:rPr>
          <w:t xml:space="preserve">пунктов 3.2</w:t>
        </w:r>
      </w:hyperlink>
      <w:r>
        <w:rPr>
          <w:sz w:val="24"/>
        </w:rPr>
        <w:t xml:space="preserve"> - </w:t>
      </w:r>
      <w:hyperlink w:history="0" w:anchor="P1578" w:tooltip="3.4. Удельная активность радиоактивных веществ в воде источников питьевого водоснабжения, Бк/кг">
        <w:r>
          <w:rPr>
            <w:sz w:val="24"/>
            <w:color w:val="0000ff"/>
          </w:rPr>
          <w:t xml:space="preserve">3.4</w:t>
        </w:r>
      </w:hyperlink>
      <w:r>
        <w:rPr>
          <w:sz w:val="24"/>
        </w:rPr>
        <w:t xml:space="preserve"> РГПТ, определяют на основе анализа полученных за год данных мониторинговых исследований. Объемная активность радиоактивных веществ в атмосферном воздухе определяется на основе данных проводившихся в течение отчетного года измерений содержания радиоактивных веществ в атмосферном воздухе населенных пунктов территориальными подразделениями Федеральной службы по гидрометеорологии и мониторингу окружающей среды.</w:t>
      </w:r>
    </w:p>
    <w:p>
      <w:pPr>
        <w:pStyle w:val="0"/>
        <w:spacing w:before="240" w:lineRule="auto"/>
        <w:ind w:firstLine="540"/>
        <w:jc w:val="both"/>
      </w:pPr>
      <w:r>
        <w:rPr>
          <w:sz w:val="24"/>
        </w:rPr>
        <w:t xml:space="preserve">9. В </w:t>
      </w:r>
      <w:hyperlink w:history="0" w:anchor="P1653" w:tooltip="Пищевые продукты">
        <w:r>
          <w:rPr>
            <w:sz w:val="24"/>
            <w:color w:val="0000ff"/>
          </w:rPr>
          <w:t xml:space="preserve">таблицу</w:t>
        </w:r>
      </w:hyperlink>
      <w:r>
        <w:rPr>
          <w:sz w:val="24"/>
        </w:rPr>
        <w:t xml:space="preserve"> пункта 3.5 РГПТ заносят данные о содержании радионуклидов </w:t>
      </w:r>
      <w:r>
        <w:rPr>
          <w:sz w:val="24"/>
          <w:vertAlign w:val="superscript"/>
        </w:rPr>
        <w:t xml:space="preserve">137</w:t>
      </w:r>
      <w:r>
        <w:rPr>
          <w:sz w:val="24"/>
        </w:rPr>
        <w:t xml:space="preserve">Cs и </w:t>
      </w:r>
      <w:r>
        <w:rPr>
          <w:sz w:val="24"/>
          <w:vertAlign w:val="superscript"/>
        </w:rPr>
        <w:t xml:space="preserve">90</w:t>
      </w:r>
      <w:r>
        <w:rPr>
          <w:sz w:val="24"/>
        </w:rPr>
        <w:t xml:space="preserve">Sr в основных видах пищевых продуктов, потребляемых на территории. В соответствующие колонки таблицы для каждого из основных пищевых продуктов заносят:</w:t>
      </w:r>
    </w:p>
    <w:p>
      <w:pPr>
        <w:pStyle w:val="0"/>
        <w:spacing w:before="240" w:lineRule="auto"/>
        <w:ind w:firstLine="540"/>
        <w:jc w:val="both"/>
      </w:pPr>
      <w:r>
        <w:rPr>
          <w:sz w:val="24"/>
        </w:rPr>
        <w:t xml:space="preserve">- число исследованных за отчетный год проб;</w:t>
      </w:r>
    </w:p>
    <w:p>
      <w:pPr>
        <w:pStyle w:val="0"/>
        <w:spacing w:before="240" w:lineRule="auto"/>
        <w:ind w:firstLine="540"/>
        <w:jc w:val="both"/>
      </w:pPr>
      <w:r>
        <w:rPr>
          <w:sz w:val="24"/>
        </w:rPr>
        <w:t xml:space="preserve">- число проб, удельная активность которых превышает установленный норматив &lt;50&gt;;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&lt;50&gt; </w:t>
      </w:r>
      <w:hyperlink w:history="0" r:id="rId71" w:tooltip="Решение Комиссии Таможенного союза от 09.12.2011 N 880 (ред. от 22.04.2024) &quot;О принятии технического регламента Таможенного союза &quot;О безопасности пищевой продукции&quot; (вместе с &quot;ТР ТС 021/2011. Технический регламент Таможенного союза. О безопасности пищевой продукции&quot;) {КонсультантПлюс}">
        <w:r>
          <w:rPr>
            <w:sz w:val="24"/>
            <w:color w:val="0000ff"/>
          </w:rPr>
          <w:t xml:space="preserve">Приложение 4</w:t>
        </w:r>
      </w:hyperlink>
      <w:r>
        <w:rPr>
          <w:sz w:val="24"/>
        </w:rPr>
        <w:t xml:space="preserve"> к ТР ТС 021/2011.</w:t>
      </w:r>
    </w:p>
    <w:p>
      <w:pPr>
        <w:pStyle w:val="0"/>
        <w:jc w:val="both"/>
      </w:pPr>
      <w:r>
        <w:rPr>
          <w:sz w:val="24"/>
        </w:rPr>
      </w:r>
    </w:p>
    <w:p>
      <w:pPr>
        <w:pStyle w:val="0"/>
        <w:ind w:firstLine="540"/>
        <w:jc w:val="both"/>
      </w:pPr>
      <w:r>
        <w:rPr>
          <w:sz w:val="24"/>
        </w:rPr>
        <w:t xml:space="preserve">- среднее и максимальное значения удельной активности радионуклидов (Бк/кг), полученные на основе анализа результатов измерений за год.</w:t>
      </w:r>
    </w:p>
    <w:p>
      <w:pPr>
        <w:pStyle w:val="0"/>
        <w:spacing w:before="240" w:lineRule="auto"/>
        <w:ind w:firstLine="540"/>
        <w:jc w:val="both"/>
      </w:pPr>
      <w:r>
        <w:rPr>
          <w:sz w:val="24"/>
        </w:rPr>
        <w:t xml:space="preserve">В </w:t>
      </w:r>
      <w:hyperlink w:history="0" w:anchor="P1653" w:tooltip="Пищевые продукты">
        <w:r>
          <w:rPr>
            <w:sz w:val="24"/>
            <w:color w:val="0000ff"/>
          </w:rPr>
          <w:t xml:space="preserve">таблице</w:t>
        </w:r>
      </w:hyperlink>
      <w:r>
        <w:rPr>
          <w:sz w:val="24"/>
        </w:rPr>
        <w:t xml:space="preserve"> пункта 3.5 перечислены основные пищевые продукты, используемые при проведении дозовых оценок. При необходимости, список пищевых продуктов может быть изменен. В первую очередь, определяют содержание </w:t>
      </w:r>
      <w:r>
        <w:rPr>
          <w:sz w:val="24"/>
          <w:vertAlign w:val="superscript"/>
        </w:rPr>
        <w:t xml:space="preserve">137</w:t>
      </w:r>
      <w:r>
        <w:rPr>
          <w:sz w:val="24"/>
        </w:rPr>
        <w:t xml:space="preserve">Cs в молоке и мясе местного производства, а также в местных лесных грибах. В РГПТ приводят те пищевые продукты, для которых имеются результаты измерений.</w:t>
      </w:r>
    </w:p>
    <w:p>
      <w:pPr>
        <w:pStyle w:val="0"/>
        <w:spacing w:before="240" w:lineRule="auto"/>
        <w:ind w:firstLine="540"/>
        <w:jc w:val="both"/>
      </w:pPr>
      <w:r>
        <w:rPr>
          <w:sz w:val="24"/>
        </w:rPr>
        <w:t xml:space="preserve">При заполнении этого </w:t>
      </w:r>
      <w:hyperlink w:history="0" w:anchor="P1651" w:tooltip="3.5. Удельная активность радиоактивных веществ в пищевых продуктах, Бк/кг">
        <w:r>
          <w:rPr>
            <w:sz w:val="24"/>
            <w:color w:val="0000ff"/>
          </w:rPr>
          <w:t xml:space="preserve">пункта</w:t>
        </w:r>
      </w:hyperlink>
      <w:r>
        <w:rPr>
          <w:sz w:val="24"/>
        </w:rPr>
        <w:t xml:space="preserve"> РГПТ используют только результаты измерений, полученные на измерительных установках, у которых минимально измеримая активность </w:t>
      </w:r>
      <w:r>
        <w:rPr>
          <w:sz w:val="24"/>
          <w:vertAlign w:val="superscript"/>
        </w:rPr>
        <w:t xml:space="preserve">137</w:t>
      </w:r>
      <w:r>
        <w:rPr>
          <w:sz w:val="24"/>
        </w:rPr>
        <w:t xml:space="preserve">Cs не превышает 1,0 Бк/кг, а </w:t>
      </w:r>
      <w:r>
        <w:rPr>
          <w:sz w:val="24"/>
          <w:vertAlign w:val="superscript"/>
        </w:rPr>
        <w:t xml:space="preserve">90</w:t>
      </w:r>
      <w:r>
        <w:rPr>
          <w:sz w:val="24"/>
        </w:rPr>
        <w:t xml:space="preserve">Sr - 0,2 Бк/кг. Для территорий, не имеющих существенного радиоактивного загрязнения, этому условию отвечают лишь результаты радиохимических исследований.</w:t>
      </w:r>
    </w:p>
    <w:p>
      <w:pPr>
        <w:pStyle w:val="0"/>
        <w:spacing w:before="240" w:lineRule="auto"/>
        <w:ind w:firstLine="540"/>
        <w:jc w:val="both"/>
      </w:pPr>
      <w:r>
        <w:rPr>
          <w:sz w:val="24"/>
        </w:rPr>
        <w:t xml:space="preserve">10. В </w:t>
      </w:r>
      <w:hyperlink w:history="0" w:anchor="P1734" w:tooltip="Характеристика">
        <w:r>
          <w:rPr>
            <w:sz w:val="24"/>
            <w:color w:val="0000ff"/>
          </w:rPr>
          <w:t xml:space="preserve">таблицу</w:t>
        </w:r>
      </w:hyperlink>
      <w:r>
        <w:rPr>
          <w:sz w:val="24"/>
        </w:rPr>
        <w:t xml:space="preserve"> пункта 3.6 РГПТ для каждого из приведенных в первом столбце показателей заносят данные о числе проведенных измерений, среднем и максимальном значениях измеренных величин за отчетный год и числе превышений уровней, указанных в </w:t>
      </w:r>
      <w:hyperlink w:history="0" w:anchor="P1801" w:tooltip="Примечания:">
        <w:r>
          <w:rPr>
            <w:sz w:val="24"/>
            <w:color w:val="0000ff"/>
          </w:rPr>
          <w:t xml:space="preserve">примечании</w:t>
        </w:r>
      </w:hyperlink>
      <w:r>
        <w:rPr>
          <w:sz w:val="24"/>
        </w:rPr>
        <w:t xml:space="preserve"> к таблице пункта 3.6 РГПТ.</w:t>
      </w:r>
    </w:p>
    <w:p>
      <w:pPr>
        <w:pStyle w:val="0"/>
        <w:spacing w:before="240" w:lineRule="auto"/>
        <w:ind w:firstLine="540"/>
        <w:jc w:val="both"/>
      </w:pPr>
      <w:r>
        <w:rPr>
          <w:sz w:val="24"/>
        </w:rPr>
        <w:t xml:space="preserve">Заносимые в </w:t>
      </w:r>
      <w:hyperlink w:history="0" w:anchor="P1734" w:tooltip="Характеристика">
        <w:r>
          <w:rPr>
            <w:sz w:val="24"/>
            <w:color w:val="0000ff"/>
          </w:rPr>
          <w:t xml:space="preserve">таблицу</w:t>
        </w:r>
      </w:hyperlink>
      <w:r>
        <w:rPr>
          <w:sz w:val="24"/>
        </w:rPr>
        <w:t xml:space="preserve"> численные значения удельной эффективной активности строительных материалов получают из анализа результатов соответствующих измерений ЛРК &lt;51&gt;. Для заполнения остальных строк </w:t>
      </w:r>
      <w:hyperlink w:history="0" w:anchor="P1734" w:tooltip="Характеристика">
        <w:r>
          <w:rPr>
            <w:sz w:val="24"/>
            <w:color w:val="0000ff"/>
          </w:rPr>
          <w:t xml:space="preserve">таблицы</w:t>
        </w:r>
      </w:hyperlink>
      <w:r>
        <w:rPr>
          <w:sz w:val="24"/>
        </w:rPr>
        <w:t xml:space="preserve"> используют данные из заполненной территорией </w:t>
      </w:r>
      <w:hyperlink w:history="0" r:id="rId72" w:tooltip="Приказ Росстата от 16.10.2013 N 411 (ред. от 30.11.2022) &quot;Об утверждении статистического инструментария для организации Федеральной службой по надзору в сфере защиты прав потребителей и благополучия человека федерального статистического наблюдения за санитарным состоянием территорий, профессиональными заболеваниями (отравлениями), дозами облучения&quot; {КонсультантПлюс}">
        <w:r>
          <w:rPr>
            <w:sz w:val="24"/>
            <w:color w:val="0000ff"/>
          </w:rPr>
          <w:t xml:space="preserve">формы 4-ДОЗ</w:t>
        </w:r>
      </w:hyperlink>
      <w:r>
        <w:rPr>
          <w:sz w:val="24"/>
        </w:rPr>
        <w:t xml:space="preserve"> за отчетный год.</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&lt;51&gt; Федеральный </w:t>
      </w:r>
      <w:hyperlink w:history="0" r:id="rId73" w:tooltip="Федеральный закон от 28.12.2013 N 412-ФЗ (ред. от 31.07.2025) &quot;Об аккредитации в национальной системе аккредитации&quot; {КонсультантПлюс}">
        <w:r>
          <w:rPr>
            <w:sz w:val="24"/>
            <w:color w:val="0000ff"/>
          </w:rPr>
          <w:t xml:space="preserve">закон</w:t>
        </w:r>
      </w:hyperlink>
      <w:r>
        <w:rPr>
          <w:sz w:val="24"/>
        </w:rPr>
        <w:t xml:space="preserve"> от 28.12.2013 N 412-ФЗ.</w:t>
      </w:r>
    </w:p>
    <w:p>
      <w:pPr>
        <w:pStyle w:val="0"/>
        <w:jc w:val="both"/>
      </w:pPr>
      <w:r>
        <w:rPr>
          <w:sz w:val="24"/>
        </w:rPr>
      </w:r>
    </w:p>
    <w:p>
      <w:pPr>
        <w:pStyle w:val="0"/>
        <w:ind w:firstLine="540"/>
        <w:jc w:val="both"/>
      </w:pPr>
      <w:r>
        <w:rPr>
          <w:sz w:val="24"/>
        </w:rPr>
        <w:t xml:space="preserve">11. В </w:t>
      </w:r>
      <w:hyperlink w:history="0" w:anchor="P1805" w:tooltip="4. Наличие на территории радиационных аномалий и загрязнений">
        <w:r>
          <w:rPr>
            <w:sz w:val="24"/>
            <w:color w:val="0000ff"/>
          </w:rPr>
          <w:t xml:space="preserve">пункте 4</w:t>
        </w:r>
      </w:hyperlink>
      <w:r>
        <w:rPr>
          <w:sz w:val="24"/>
        </w:rPr>
        <w:t xml:space="preserve"> РГПТ приводится информация о наличии на территории радиоактивных загрязнений и радиационных аномалий. Кроме того, приводятся данные о количестве выявленных и дезактивированных радиоактивных загрязнений в отчетном году.</w:t>
      </w:r>
    </w:p>
    <w:p>
      <w:pPr>
        <w:pStyle w:val="0"/>
        <w:spacing w:before="240" w:lineRule="auto"/>
        <w:ind w:firstLine="540"/>
        <w:jc w:val="both"/>
      </w:pPr>
      <w:r>
        <w:rPr>
          <w:sz w:val="24"/>
        </w:rPr>
        <w:t xml:space="preserve">12. В </w:t>
      </w:r>
      <w:hyperlink w:history="0" w:anchor="P1811" w:tooltip="5. Облучение населения при медицинских диагностических процедурах в отчетном году">
        <w:r>
          <w:rPr>
            <w:sz w:val="24"/>
            <w:color w:val="0000ff"/>
          </w:rPr>
          <w:t xml:space="preserve">пункте 5</w:t>
        </w:r>
      </w:hyperlink>
      <w:r>
        <w:rPr>
          <w:sz w:val="24"/>
        </w:rPr>
        <w:t xml:space="preserve"> РГПТ приводят данные о медицинском облучении пациентов при проведении рентгенорадиологических исследований, которые получают на основе обобщения соответствующей информации, содержащейся в РГПО, которая производится автоматически в программном обеспечении.</w:t>
      </w:r>
    </w:p>
    <w:p>
      <w:pPr>
        <w:pStyle w:val="0"/>
        <w:spacing w:before="240" w:lineRule="auto"/>
        <w:ind w:firstLine="540"/>
        <w:jc w:val="both"/>
      </w:pPr>
      <w:r>
        <w:rPr>
          <w:sz w:val="24"/>
        </w:rPr>
        <w:t xml:space="preserve">20. В </w:t>
      </w:r>
      <w:hyperlink w:history="0" w:anchor="P1863" w:tooltip="Группа персонала">
        <w:r>
          <w:rPr>
            <w:sz w:val="24"/>
            <w:color w:val="0000ff"/>
          </w:rPr>
          <w:t xml:space="preserve">таблицу</w:t>
        </w:r>
      </w:hyperlink>
      <w:r>
        <w:rPr>
          <w:sz w:val="24"/>
        </w:rPr>
        <w:t xml:space="preserve"> пункта 6.1 РГПТ заносят:</w:t>
      </w:r>
    </w:p>
    <w:p>
      <w:pPr>
        <w:pStyle w:val="0"/>
        <w:spacing w:before="240" w:lineRule="auto"/>
        <w:ind w:firstLine="540"/>
        <w:jc w:val="both"/>
      </w:pPr>
      <w:r>
        <w:rPr>
          <w:sz w:val="24"/>
        </w:rPr>
        <w:t xml:space="preserve">- численность персонала групп А и Б &lt;52&gt; на территории;</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&lt;52&gt; </w:t>
      </w:r>
      <w:hyperlink w:history="0" r:id="rId74" w:tooltip="Постановление Главного государственного санитарного врача РФ от 07.07.2009 N 47 &quot;Об утверждении СанПиН 2.6.1.2523-09&quot; (вместе с &quot;НРБ-99/2009. СанПиН 2.6.1.2523-09. Нормы радиационной безопасности. Санитарные правила и нормативы&quot;) (Зарегистрировано в Минюсте РФ 14.08.2009 N 14534) {КонсультантПлюс}">
        <w:r>
          <w:rPr>
            <w:sz w:val="24"/>
            <w:color w:val="0000ff"/>
          </w:rPr>
          <w:t xml:space="preserve">Пункт 48</w:t>
        </w:r>
      </w:hyperlink>
      <w:r>
        <w:rPr>
          <w:sz w:val="24"/>
        </w:rPr>
        <w:t xml:space="preserve"> приложения 7 к НРБ-99/2009.</w:t>
      </w:r>
    </w:p>
    <w:p>
      <w:pPr>
        <w:pStyle w:val="0"/>
        <w:jc w:val="both"/>
      </w:pPr>
      <w:r>
        <w:rPr>
          <w:sz w:val="24"/>
        </w:rPr>
      </w:r>
    </w:p>
    <w:p>
      <w:pPr>
        <w:pStyle w:val="0"/>
        <w:ind w:firstLine="540"/>
        <w:jc w:val="both"/>
      </w:pPr>
      <w:r>
        <w:rPr>
          <w:sz w:val="24"/>
        </w:rPr>
        <w:t xml:space="preserve">- численность персонала (групп А и Б), имевшего в отчетном году индивидуальную годовую эффективную дозу облучения в диапазоне: 0 - 1, 1 - 2, 2 - 5, 5 - 12,5, 12,5 - 20, 20 - 50 и &gt; 50 мЗв/год;</w:t>
      </w:r>
    </w:p>
    <w:p>
      <w:pPr>
        <w:pStyle w:val="0"/>
        <w:spacing w:before="240" w:lineRule="auto"/>
        <w:ind w:firstLine="540"/>
        <w:jc w:val="both"/>
      </w:pPr>
      <w:r>
        <w:rPr>
          <w:sz w:val="24"/>
        </w:rPr>
        <w:t xml:space="preserve">- средние индивидуальные и коллективные годовые эффективные дозы облучения персонала групп А и Б;</w:t>
      </w:r>
    </w:p>
    <w:p>
      <w:pPr>
        <w:pStyle w:val="0"/>
        <w:spacing w:before="240" w:lineRule="auto"/>
        <w:ind w:firstLine="540"/>
        <w:jc w:val="both"/>
      </w:pPr>
      <w:r>
        <w:rPr>
          <w:sz w:val="24"/>
        </w:rPr>
        <w:t xml:space="preserve">Данная </w:t>
      </w:r>
      <w:hyperlink w:history="0" w:anchor="P1863" w:tooltip="Группа персонала">
        <w:r>
          <w:rPr>
            <w:sz w:val="24"/>
            <w:color w:val="0000ff"/>
          </w:rPr>
          <w:t xml:space="preserve">таблица</w:t>
        </w:r>
      </w:hyperlink>
      <w:r>
        <w:rPr>
          <w:sz w:val="24"/>
        </w:rPr>
        <w:t xml:space="preserve"> заполняется в программном обеспечении автоматически.</w:t>
      </w:r>
    </w:p>
    <w:p>
      <w:pPr>
        <w:pStyle w:val="0"/>
        <w:spacing w:before="240" w:lineRule="auto"/>
        <w:ind w:firstLine="540"/>
        <w:jc w:val="both"/>
      </w:pPr>
      <w:r>
        <w:rPr>
          <w:sz w:val="24"/>
        </w:rPr>
        <w:t xml:space="preserve">13. В </w:t>
      </w:r>
      <w:hyperlink w:history="0" w:anchor="P1912" w:tooltip="6.2. Техногенное облучение населения">
        <w:r>
          <w:rPr>
            <w:sz w:val="24"/>
            <w:color w:val="0000ff"/>
          </w:rPr>
          <w:t xml:space="preserve">пункт 6.2</w:t>
        </w:r>
      </w:hyperlink>
      <w:r>
        <w:rPr>
          <w:sz w:val="24"/>
        </w:rPr>
        <w:t xml:space="preserve"> РГПТ заносят информацию о населении территории, проживающем в ЗН радиационных объектов, а также проживающем в зонах радиоактивного загрязнения (при наличии таких зон на территории):</w:t>
      </w:r>
    </w:p>
    <w:p>
      <w:pPr>
        <w:pStyle w:val="0"/>
        <w:spacing w:before="240" w:lineRule="auto"/>
        <w:ind w:firstLine="540"/>
        <w:jc w:val="both"/>
      </w:pPr>
      <w:r>
        <w:rPr>
          <w:sz w:val="24"/>
        </w:rPr>
        <w:t xml:space="preserve">численность населения территории, постоянно проживающего в ЗН радиационных объектов (тыс. чел.);</w:t>
      </w:r>
    </w:p>
    <w:p>
      <w:pPr>
        <w:pStyle w:val="0"/>
        <w:spacing w:before="240" w:lineRule="auto"/>
        <w:ind w:firstLine="540"/>
        <w:jc w:val="both"/>
      </w:pPr>
      <w:r>
        <w:rPr>
          <w:sz w:val="24"/>
        </w:rPr>
        <w:t xml:space="preserve">значение средней индивидуальной годовой эффективной дозы дополнительного облучения людей, постоянно проживающих в ЗН радиационных объектов, за счет их текущей деятельности в отчетном году (мЗв/год);</w:t>
      </w:r>
    </w:p>
    <w:p>
      <w:pPr>
        <w:pStyle w:val="0"/>
        <w:spacing w:before="240" w:lineRule="auto"/>
        <w:ind w:firstLine="540"/>
        <w:jc w:val="both"/>
      </w:pPr>
      <w:r>
        <w:rPr>
          <w:sz w:val="24"/>
        </w:rPr>
        <w:t xml:space="preserve">значение коллективной годовой эффективной дозы дополнительного облучения населения территории, постоянно проживающего в ЗН радиационных объектов, за счет их текущей деятельности в отчетном году (чел.-Зв/год);</w:t>
      </w:r>
    </w:p>
    <w:p>
      <w:pPr>
        <w:pStyle w:val="0"/>
        <w:spacing w:before="240" w:lineRule="auto"/>
        <w:ind w:firstLine="540"/>
        <w:jc w:val="both"/>
      </w:pPr>
      <w:r>
        <w:rPr>
          <w:sz w:val="24"/>
        </w:rPr>
        <w:t xml:space="preserve">численность населения территории, постоянно проживающего в ЗН радиационных объектов, для которых в отчетном году годовая индивидуальная доза облучения за счет их деятельности превысила 1 мЗв,</w:t>
      </w:r>
    </w:p>
    <w:p>
      <w:pPr>
        <w:pStyle w:val="0"/>
        <w:spacing w:before="240" w:lineRule="auto"/>
        <w:ind w:firstLine="540"/>
        <w:jc w:val="both"/>
      </w:pPr>
      <w:r>
        <w:rPr>
          <w:sz w:val="24"/>
        </w:rPr>
        <w:t xml:space="preserve">численность населения территории, постоянно проживающего в ЗН радиационных объектов, для которых в отчетном году годовая индивидуальная доза за счет их деятельности превысила установленный для данной организации допустимый уровень воздействия (квоту).</w:t>
      </w:r>
    </w:p>
    <w:p>
      <w:pPr>
        <w:pStyle w:val="0"/>
        <w:spacing w:before="240" w:lineRule="auto"/>
        <w:ind w:firstLine="540"/>
        <w:jc w:val="both"/>
      </w:pPr>
      <w:r>
        <w:rPr>
          <w:sz w:val="24"/>
        </w:rPr>
        <w:t xml:space="preserve">Данная </w:t>
      </w:r>
      <w:hyperlink w:history="0" w:anchor="P1912" w:tooltip="6.2. Техногенное облучение населения">
        <w:r>
          <w:rPr>
            <w:sz w:val="24"/>
            <w:color w:val="0000ff"/>
          </w:rPr>
          <w:t xml:space="preserve">таблица</w:t>
        </w:r>
      </w:hyperlink>
      <w:r>
        <w:rPr>
          <w:sz w:val="24"/>
        </w:rPr>
        <w:t xml:space="preserve"> заполняется в программном обеспечении автоматически.</w:t>
      </w:r>
    </w:p>
    <w:p>
      <w:pPr>
        <w:pStyle w:val="0"/>
        <w:spacing w:before="240" w:lineRule="auto"/>
        <w:ind w:firstLine="540"/>
        <w:jc w:val="both"/>
      </w:pPr>
      <w:r>
        <w:rPr>
          <w:sz w:val="24"/>
        </w:rPr>
        <w:t xml:space="preserve">В </w:t>
      </w:r>
      <w:hyperlink w:history="0" w:anchor="P1935" w:tooltip="Плотность загрязнения почвы 137Cs кБк/м2 (Ки/км2)">
        <w:r>
          <w:rPr>
            <w:sz w:val="24"/>
            <w:color w:val="0000ff"/>
          </w:rPr>
          <w:t xml:space="preserve">таблицу</w:t>
        </w:r>
      </w:hyperlink>
      <w:r>
        <w:rPr>
          <w:sz w:val="24"/>
        </w:rPr>
        <w:t xml:space="preserve"> пункта 6.2.2 РГПТ заносится численность населения, проживающего на территориях, загрязненных </w:t>
      </w:r>
      <w:r>
        <w:rPr>
          <w:sz w:val="24"/>
          <w:vertAlign w:val="superscript"/>
        </w:rPr>
        <w:t xml:space="preserve">137</w:t>
      </w:r>
      <w:r>
        <w:rPr>
          <w:sz w:val="24"/>
        </w:rPr>
        <w:t xml:space="preserve">Cs в заданном диапазоне плотностей поверхностного загрязнения (1 - 5, 5 - 15, 15 - 40 и &gt; 40 Ки/км</w:t>
      </w:r>
      <w:r>
        <w:rPr>
          <w:sz w:val="24"/>
          <w:vertAlign w:val="superscript"/>
        </w:rPr>
        <w:t xml:space="preserve">2</w:t>
      </w:r>
      <w:r>
        <w:rPr>
          <w:sz w:val="24"/>
        </w:rPr>
        <w:t xml:space="preserve">) и их средние индивидуальные и коллективные дозы техногенного облучения за счет этого загрязнения. Данная </w:t>
      </w:r>
      <w:hyperlink w:history="0" w:anchor="P1935" w:tooltip="Плотность загрязнения почвы 137Cs кБк/м2 (Ки/км2)">
        <w:r>
          <w:rPr>
            <w:sz w:val="24"/>
            <w:color w:val="0000ff"/>
          </w:rPr>
          <w:t xml:space="preserve">таблица</w:t>
        </w:r>
      </w:hyperlink>
      <w:r>
        <w:rPr>
          <w:sz w:val="24"/>
        </w:rPr>
        <w:t xml:space="preserve"> заполняется в программном обеспечении автоматически.</w:t>
      </w:r>
    </w:p>
    <w:p>
      <w:pPr>
        <w:pStyle w:val="0"/>
        <w:spacing w:before="240" w:lineRule="auto"/>
        <w:ind w:firstLine="540"/>
        <w:jc w:val="both"/>
      </w:pPr>
      <w:r>
        <w:rPr>
          <w:sz w:val="24"/>
        </w:rPr>
        <w:t xml:space="preserve">14. В </w:t>
      </w:r>
      <w:hyperlink w:history="0" w:anchor="P1962" w:tooltip="Облучения населения территории за счет">
        <w:r>
          <w:rPr>
            <w:sz w:val="24"/>
            <w:color w:val="0000ff"/>
          </w:rPr>
          <w:t xml:space="preserve">таблицу</w:t>
        </w:r>
      </w:hyperlink>
      <w:r>
        <w:rPr>
          <w:sz w:val="24"/>
        </w:rPr>
        <w:t xml:space="preserve"> пункта 6.3 РГПТ заносят информацию о коллективных дозах облучения населения (чел.-Зв) и средних дозах облучения населения в расчете на одного жителя (мЗв), проживающего на территории субъекта Российской Федерации, за счет всех основных видов облучения (за счет деятельности предприятий, использующих ИИИ, за счет техногенноизмененного радиационного фона, за счет природных источников ИИИ, за счет медицинского облучения, за счет радиационных аварий) и процентный вклад в суммарную дозу различных видов облучения.</w:t>
      </w:r>
    </w:p>
    <w:p>
      <w:pPr>
        <w:pStyle w:val="0"/>
        <w:spacing w:before="240" w:lineRule="auto"/>
        <w:ind w:firstLine="540"/>
        <w:jc w:val="both"/>
      </w:pPr>
      <w:r>
        <w:rPr>
          <w:sz w:val="24"/>
        </w:rPr>
        <w:t xml:space="preserve">В </w:t>
      </w:r>
      <w:hyperlink w:history="0" w:anchor="P1968" w:tooltip="а) обращения с техногенными источниками ионизирующего излучения, в том числе:">
        <w:r>
          <w:rPr>
            <w:sz w:val="24"/>
            <w:color w:val="0000ff"/>
          </w:rPr>
          <w:t xml:space="preserve">строку а)</w:t>
        </w:r>
      </w:hyperlink>
      <w:r>
        <w:rPr>
          <w:sz w:val="24"/>
        </w:rPr>
        <w:t xml:space="preserve"> таблицы пункта 6.3 РГПТ заносят годовую эффективную коллективную дозу техногенного облучения населения территории за счет нормальной эксплуатации радиационных объектов, которая состоит из двух компонентов:</w:t>
      </w:r>
    </w:p>
    <w:p>
      <w:pPr>
        <w:pStyle w:val="0"/>
        <w:spacing w:before="240" w:lineRule="auto"/>
        <w:ind w:firstLine="540"/>
        <w:jc w:val="both"/>
      </w:pPr>
      <w:r>
        <w:rPr>
          <w:sz w:val="24"/>
        </w:rPr>
        <w:t xml:space="preserve">- коллективная доза облучения персонала, определяемая путем суммирования коллективных доз облучения персонала группы А и группы Б из </w:t>
      </w:r>
      <w:hyperlink w:history="0" w:anchor="P1863" w:tooltip="Группа персонала">
        <w:r>
          <w:rPr>
            <w:sz w:val="24"/>
            <w:color w:val="0000ff"/>
          </w:rPr>
          <w:t xml:space="preserve">таблицы</w:t>
        </w:r>
      </w:hyperlink>
      <w:r>
        <w:rPr>
          <w:sz w:val="24"/>
        </w:rPr>
        <w:t xml:space="preserve"> пункта 6.1 РГПТ;</w:t>
      </w:r>
    </w:p>
    <w:p>
      <w:pPr>
        <w:pStyle w:val="0"/>
        <w:spacing w:before="240" w:lineRule="auto"/>
        <w:ind w:firstLine="540"/>
        <w:jc w:val="both"/>
      </w:pPr>
      <w:r>
        <w:rPr>
          <w:sz w:val="24"/>
        </w:rPr>
        <w:t xml:space="preserve">- коллективная доза облучения населения, проживающего в ЗН, которую берут из </w:t>
      </w:r>
      <w:hyperlink w:history="0" w:anchor="P1935" w:tooltip="Плотность загрязнения почвы 137Cs кБк/м2 (Ки/км2)">
        <w:r>
          <w:rPr>
            <w:sz w:val="24"/>
            <w:color w:val="0000ff"/>
          </w:rPr>
          <w:t xml:space="preserve">таблицы</w:t>
        </w:r>
      </w:hyperlink>
      <w:r>
        <w:rPr>
          <w:sz w:val="24"/>
        </w:rPr>
        <w:t xml:space="preserve"> пункта 6.2 РГПТ.</w:t>
      </w:r>
    </w:p>
    <w:p>
      <w:pPr>
        <w:pStyle w:val="0"/>
        <w:spacing w:before="240" w:lineRule="auto"/>
        <w:ind w:firstLine="540"/>
        <w:jc w:val="both"/>
      </w:pPr>
      <w:r>
        <w:rPr>
          <w:sz w:val="24"/>
        </w:rPr>
        <w:t xml:space="preserve">В программном обеспечении данная </w:t>
      </w:r>
      <w:hyperlink w:history="0" w:anchor="P1968" w:tooltip="а) обращения с техногенными источниками ионизирующего излучения, в том числе:">
        <w:r>
          <w:rPr>
            <w:sz w:val="24"/>
            <w:color w:val="0000ff"/>
          </w:rPr>
          <w:t xml:space="preserve">строка</w:t>
        </w:r>
      </w:hyperlink>
      <w:r>
        <w:rPr>
          <w:sz w:val="24"/>
        </w:rPr>
        <w:t xml:space="preserve"> заполняется автоматически.</w:t>
      </w:r>
    </w:p>
    <w:p>
      <w:pPr>
        <w:pStyle w:val="0"/>
        <w:spacing w:before="240" w:lineRule="auto"/>
        <w:ind w:firstLine="540"/>
        <w:jc w:val="both"/>
      </w:pPr>
      <w:r>
        <w:rPr>
          <w:sz w:val="24"/>
        </w:rPr>
        <w:t xml:space="preserve">В </w:t>
      </w:r>
      <w:hyperlink w:history="0" w:anchor="P1980" w:tooltip="б) техногенного фона, в том числе:">
        <w:r>
          <w:rPr>
            <w:sz w:val="24"/>
            <w:color w:val="0000ff"/>
          </w:rPr>
          <w:t xml:space="preserve">строку б)</w:t>
        </w:r>
      </w:hyperlink>
      <w:r>
        <w:rPr>
          <w:sz w:val="24"/>
        </w:rPr>
        <w:t xml:space="preserve"> таблицы пункта 6.3 РГПТ заносят годовые эффективные коллективные дозы облучения населения территории в отчетном году за счет глобальных выпадений продуктов ядерных взрывов и облучения за счет радиоактивного загрязнения территории в результате радиационных аварий прошлых лет и предшествующей деятельности.</w:t>
      </w:r>
    </w:p>
    <w:p>
      <w:pPr>
        <w:pStyle w:val="0"/>
        <w:spacing w:before="240" w:lineRule="auto"/>
        <w:ind w:firstLine="540"/>
        <w:jc w:val="both"/>
      </w:pPr>
      <w:r>
        <w:rPr>
          <w:sz w:val="24"/>
        </w:rPr>
        <w:t xml:space="preserve">Годовую эффективную коллективную дозу облучения населения территории за счет глобальных выпадений продуктов ядерных взрывов в чел.-Зв определяют как произведение 5·10</w:t>
      </w:r>
      <w:r>
        <w:rPr>
          <w:sz w:val="24"/>
          <w:vertAlign w:val="superscript"/>
        </w:rPr>
        <w:t xml:space="preserve">-6</w:t>
      </w:r>
      <w:r>
        <w:rPr>
          <w:sz w:val="24"/>
        </w:rPr>
        <w:t xml:space="preserve"> Зв на численность населения территории (или как численность населения территории в миллионах человек, умноженную на 5). В программном обеспечении данная величина рассчитывается автоматически.</w:t>
      </w:r>
    </w:p>
    <w:p>
      <w:pPr>
        <w:pStyle w:val="0"/>
        <w:spacing w:before="240" w:lineRule="auto"/>
        <w:ind w:firstLine="540"/>
        <w:jc w:val="both"/>
      </w:pPr>
      <w:r>
        <w:rPr>
          <w:sz w:val="24"/>
        </w:rPr>
        <w:t xml:space="preserve">Годовую эффективную коллективную дозу облучения населения территории в отчетном году за счет прошлых радиационных аварий берут из официальных данных Управлений Роспотребнадзора по соответствующим субъектам Российской Федерации.</w:t>
      </w:r>
    </w:p>
    <w:p>
      <w:pPr>
        <w:pStyle w:val="0"/>
        <w:spacing w:before="240" w:lineRule="auto"/>
        <w:ind w:firstLine="540"/>
        <w:jc w:val="both"/>
      </w:pPr>
      <w:r>
        <w:rPr>
          <w:sz w:val="24"/>
        </w:rPr>
        <w:t xml:space="preserve">В </w:t>
      </w:r>
      <w:hyperlink w:history="0" w:anchor="P1992" w:tooltip="в) природных источников, в том числе:">
        <w:r>
          <w:rPr>
            <w:sz w:val="24"/>
            <w:color w:val="0000ff"/>
          </w:rPr>
          <w:t xml:space="preserve">строку в)</w:t>
        </w:r>
      </w:hyperlink>
      <w:r>
        <w:rPr>
          <w:sz w:val="24"/>
        </w:rPr>
        <w:t xml:space="preserve"> таблицы пункта 6.3 РГПТ заносят годовые эффективные коллективные дозы облучения населения территории в отчетном году за счет природных источников, включающие пять компонентов:</w:t>
      </w:r>
    </w:p>
    <w:p>
      <w:pPr>
        <w:pStyle w:val="0"/>
        <w:spacing w:before="240" w:lineRule="auto"/>
        <w:ind w:firstLine="540"/>
        <w:jc w:val="both"/>
      </w:pPr>
      <w:r>
        <w:rPr>
          <w:sz w:val="24"/>
        </w:rPr>
        <w:t xml:space="preserve">от радона - доза внутреннего облучения за счет ингаляции изотопов радона, и их короткоживущих дочерних продуктов;</w:t>
      </w:r>
    </w:p>
    <w:p>
      <w:pPr>
        <w:pStyle w:val="0"/>
        <w:spacing w:before="240" w:lineRule="auto"/>
        <w:ind w:firstLine="540"/>
        <w:jc w:val="both"/>
      </w:pPr>
      <w:r>
        <w:rPr>
          <w:sz w:val="24"/>
        </w:rPr>
        <w:t xml:space="preserve">от внешнего гамма-излучения - доза внешнего облучения гамма-излучением природных радионуклидов, содержащихся в земной породе и строительных конструкциях;</w:t>
      </w:r>
    </w:p>
    <w:p>
      <w:pPr>
        <w:pStyle w:val="0"/>
        <w:spacing w:before="240" w:lineRule="auto"/>
        <w:ind w:firstLine="540"/>
        <w:jc w:val="both"/>
      </w:pPr>
      <w:r>
        <w:rPr>
          <w:sz w:val="24"/>
        </w:rPr>
        <w:t xml:space="preserve">от космического излучения - доза внешнего облучения космическим излучением и внутреннего облучения возникающими под его воздействием космогенными радионуклидами (получается умножением численности населения в миллионах человек на 400);</w:t>
      </w:r>
    </w:p>
    <w:p>
      <w:pPr>
        <w:pStyle w:val="0"/>
        <w:spacing w:before="240" w:lineRule="auto"/>
        <w:ind w:firstLine="540"/>
        <w:jc w:val="both"/>
      </w:pPr>
      <w:r>
        <w:rPr>
          <w:sz w:val="24"/>
        </w:rPr>
        <w:t xml:space="preserve">от пищи и питьевой воды - доза внутреннего облучения за счет поступления природных радионуклидов с продуктами питания и питьевой водой;</w:t>
      </w:r>
    </w:p>
    <w:p>
      <w:pPr>
        <w:pStyle w:val="0"/>
        <w:spacing w:before="240" w:lineRule="auto"/>
        <w:ind w:firstLine="540"/>
        <w:jc w:val="both"/>
      </w:pPr>
      <w:r>
        <w:rPr>
          <w:sz w:val="24"/>
        </w:rPr>
        <w:t xml:space="preserve">от содержащегося в организме </w:t>
      </w:r>
      <w:r>
        <w:rPr>
          <w:sz w:val="24"/>
          <w:vertAlign w:val="superscript"/>
        </w:rPr>
        <w:t xml:space="preserve">40</w:t>
      </w:r>
      <w:r>
        <w:rPr>
          <w:sz w:val="24"/>
        </w:rPr>
        <w:t xml:space="preserve">К - доза внутреннего облучения за счет радиоактивного распада, содержащегося в организме </w:t>
      </w:r>
      <w:r>
        <w:rPr>
          <w:sz w:val="24"/>
          <w:vertAlign w:val="superscript"/>
        </w:rPr>
        <w:t xml:space="preserve">40</w:t>
      </w:r>
      <w:r>
        <w:rPr>
          <w:sz w:val="24"/>
        </w:rPr>
        <w:t xml:space="preserve">К (получают умножением численности населения в миллионах человек на 170).</w:t>
      </w:r>
    </w:p>
    <w:p>
      <w:pPr>
        <w:pStyle w:val="0"/>
        <w:spacing w:before="240" w:lineRule="auto"/>
        <w:ind w:firstLine="540"/>
        <w:jc w:val="both"/>
      </w:pPr>
      <w:r>
        <w:rPr>
          <w:sz w:val="24"/>
        </w:rPr>
        <w:t xml:space="preserve">Оценка доз от радона, от внешнего облучения и от пищи и питьевой воды проводится в соответствии с утвержденной </w:t>
      </w:r>
      <w:hyperlink w:history="0" r:id="rId75" w:tooltip="&quot;Методические рекомендации &quot;Форма федерального государственного статистического наблюдения N 4-ДОЗ &quot;Сведения о дозах облучения населения за счет естественного и техногенно измененного радиационного фона&quot; (утв. Роспотребнадзором 19.04.2007 N 0100/4027-07-34) {КонсультантПлюс}">
        <w:r>
          <w:rPr>
            <w:sz w:val="24"/>
            <w:color w:val="0000ff"/>
          </w:rPr>
          <w:t xml:space="preserve">методикой</w:t>
        </w:r>
      </w:hyperlink>
      <w:r>
        <w:rPr>
          <w:sz w:val="24"/>
        </w:rPr>
        <w:t xml:space="preserve"> &lt;53&gt;. Дозы от радона, от внешнего гамма-излучения, от пищи и питьевой воды для заполнения этой таблицы получаются автоматически в программном обеспечении для заполнения </w:t>
      </w:r>
      <w:hyperlink w:history="0" r:id="rId76" w:tooltip="Приказ Росстата от 16.10.2013 N 411 (ред. от 30.11.2022) &quot;Об утверждении статистического инструментария для организации Федеральной службой по надзору в сфере защиты прав потребителей и благополучия человека федерального статистического наблюдения за санитарным состоянием территорий, профессиональными заболеваниями (отравлениями), дозами облучения&quot; {КонсультантПлюс}">
        <w:r>
          <w:rPr>
            <w:sz w:val="24"/>
            <w:color w:val="0000ff"/>
          </w:rPr>
          <w:t xml:space="preserve">формы N 4-ДОЗ</w:t>
        </w:r>
      </w:hyperlink>
      <w:r>
        <w:rPr>
          <w:sz w:val="24"/>
        </w:rPr>
        <w:t xml:space="preserve"> территории субъекта Российской Федерации с учетом имеющейся информации за предшествующие 5 лет.</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&lt;53&gt; Методические </w:t>
      </w:r>
      <w:hyperlink w:history="0" r:id="rId77" w:tooltip="&quot;Методические рекомендации &quot;Форма федерального государственного статистического наблюдения N 4-ДОЗ &quot;Сведения о дозах облучения населения за счет естественного и техногенно измененного радиационного фона&quot; (утв. Роспотребнадзором 19.04.2007 N 0100/4027-07-34) {КонсультантПлюс}">
        <w:r>
          <w:rPr>
            <w:sz w:val="24"/>
            <w:color w:val="0000ff"/>
          </w:rPr>
          <w:t xml:space="preserve">рекомендации</w:t>
        </w:r>
      </w:hyperlink>
      <w:r>
        <w:rPr>
          <w:sz w:val="24"/>
        </w:rPr>
        <w:t xml:space="preserve"> 0100/4027-07-34 "Форма федерального государственного статистического наблюдения N 4-ДОЗ", утвержденные Роспотребнадзором 19.04.2007.</w:t>
      </w:r>
    </w:p>
    <w:p>
      <w:pPr>
        <w:pStyle w:val="0"/>
        <w:jc w:val="both"/>
      </w:pPr>
      <w:r>
        <w:rPr>
          <w:sz w:val="24"/>
        </w:rPr>
      </w:r>
    </w:p>
    <w:p>
      <w:pPr>
        <w:pStyle w:val="0"/>
        <w:ind w:firstLine="540"/>
        <w:jc w:val="both"/>
      </w:pPr>
      <w:r>
        <w:rPr>
          <w:sz w:val="24"/>
        </w:rPr>
        <w:t xml:space="preserve">В </w:t>
      </w:r>
      <w:hyperlink w:history="0" w:anchor="P2016" w:tooltip="г) медицинских исследований">
        <w:r>
          <w:rPr>
            <w:sz w:val="24"/>
            <w:color w:val="0000ff"/>
          </w:rPr>
          <w:t xml:space="preserve">строку г)</w:t>
        </w:r>
      </w:hyperlink>
      <w:r>
        <w:rPr>
          <w:sz w:val="24"/>
        </w:rPr>
        <w:t xml:space="preserve"> таблицы пункта 6.3 РГПТ заносят годовую эффективную коллективную дозу медицинского облучения населения территории в отчетном году из </w:t>
      </w:r>
      <w:hyperlink w:history="0" w:anchor="P1813" w:tooltip="Виды процедур">
        <w:r>
          <w:rPr>
            <w:sz w:val="24"/>
            <w:color w:val="0000ff"/>
          </w:rPr>
          <w:t xml:space="preserve">таблицы</w:t>
        </w:r>
      </w:hyperlink>
      <w:r>
        <w:rPr>
          <w:sz w:val="24"/>
        </w:rPr>
        <w:t xml:space="preserve"> пункта 5 РГПТ. В программном обеспечении данная строка заполняется автоматически.</w:t>
      </w:r>
    </w:p>
    <w:p>
      <w:pPr>
        <w:pStyle w:val="0"/>
        <w:spacing w:before="240" w:lineRule="auto"/>
        <w:ind w:firstLine="540"/>
        <w:jc w:val="both"/>
      </w:pPr>
      <w:r>
        <w:rPr>
          <w:sz w:val="24"/>
        </w:rPr>
        <w:t xml:space="preserve">В </w:t>
      </w:r>
      <w:hyperlink w:history="0" w:anchor="P2020" w:tooltip="д) радиационных аварий и происшествий в отчетном году">
        <w:r>
          <w:rPr>
            <w:sz w:val="24"/>
            <w:color w:val="0000ff"/>
          </w:rPr>
          <w:t xml:space="preserve">строку д)</w:t>
        </w:r>
      </w:hyperlink>
      <w:r>
        <w:rPr>
          <w:sz w:val="24"/>
        </w:rPr>
        <w:t xml:space="preserve"> таблицы пункта 6.3 РГПТ заносят годовую эффективную коллективную дозу облучения населения территории за счет радиационных аварий отчетного года, если таковые имели место. Она получается путем суммирования индивидуальных доз подвергшегося аварийному облучению персонала и населения, определяемых из непосредственных измерений, либо согласно документам, разработанным применительно к условиям конкретных аварий.</w:t>
      </w:r>
    </w:p>
    <w:p>
      <w:pPr>
        <w:pStyle w:val="0"/>
        <w:spacing w:before="240" w:lineRule="auto"/>
        <w:ind w:firstLine="540"/>
        <w:jc w:val="both"/>
      </w:pPr>
      <w:r>
        <w:rPr>
          <w:sz w:val="24"/>
        </w:rPr>
        <w:t xml:space="preserve">Суммарные дозы, относительные вклады в коллективную дозу различных видов облучения и средние индивидуальные дозы формируются в программном обеспечении автоматически после заполнения соответствующих граф </w:t>
      </w:r>
      <w:hyperlink w:history="0" w:anchor="P1962" w:tooltip="Облучения населения территории за счет">
        <w:r>
          <w:rPr>
            <w:sz w:val="24"/>
            <w:color w:val="0000ff"/>
          </w:rPr>
          <w:t xml:space="preserve">таблицы</w:t>
        </w:r>
      </w:hyperlink>
      <w:r>
        <w:rPr>
          <w:sz w:val="24"/>
        </w:rPr>
        <w:t xml:space="preserve"> пункта 6.3.</w:t>
      </w:r>
    </w:p>
    <w:p>
      <w:pPr>
        <w:pStyle w:val="0"/>
        <w:spacing w:before="240" w:lineRule="auto"/>
        <w:ind w:firstLine="540"/>
        <w:jc w:val="both"/>
      </w:pPr>
      <w:r>
        <w:rPr>
          <w:sz w:val="24"/>
        </w:rPr>
        <w:t xml:space="preserve">15. В </w:t>
      </w:r>
      <w:hyperlink w:history="0" w:anchor="P2034" w:tooltip="Дата">
        <w:r>
          <w:rPr>
            <w:sz w:val="24"/>
            <w:color w:val="0000ff"/>
          </w:rPr>
          <w:t xml:space="preserve">таблице</w:t>
        </w:r>
      </w:hyperlink>
      <w:r>
        <w:rPr>
          <w:sz w:val="24"/>
        </w:rPr>
        <w:t xml:space="preserve"> пункта 7 РГПТ приводят информацию об имевших место в отчетном году радиационных авариях и происшествиях. Она формируется путем суммирования данных из </w:t>
      </w:r>
      <w:hyperlink w:history="0" w:anchor="P1811" w:tooltip="5. Облучение населения при медицинских диагностических процедурах в отчетном году">
        <w:r>
          <w:rPr>
            <w:sz w:val="24"/>
            <w:color w:val="0000ff"/>
          </w:rPr>
          <w:t xml:space="preserve">пункта 5</w:t>
        </w:r>
      </w:hyperlink>
      <w:r>
        <w:rPr>
          <w:sz w:val="24"/>
        </w:rPr>
        <w:t xml:space="preserve">, полученных РГПО, или данных надзорных органов (в случаях возникновения аварии на нерадиационном объекте, например, выявление утерянных радионуклидных источников, радиоактивно загрязненного металлолома). Для каждой аварии указывают дату аварии, организацию, в которой произошла авария, и краткое описание аварии.</w:t>
      </w:r>
    </w:p>
    <w:p>
      <w:pPr>
        <w:pStyle w:val="0"/>
        <w:spacing w:before="240" w:lineRule="auto"/>
        <w:ind w:firstLine="540"/>
        <w:jc w:val="both"/>
      </w:pPr>
      <w:r>
        <w:rPr>
          <w:sz w:val="24"/>
        </w:rPr>
        <w:t xml:space="preserve">16. В </w:t>
      </w:r>
      <w:hyperlink w:history="0" w:anchor="P2055" w:tooltip="Диагноз">
        <w:r>
          <w:rPr>
            <w:sz w:val="24"/>
            <w:color w:val="0000ff"/>
          </w:rPr>
          <w:t xml:space="preserve">таблице</w:t>
        </w:r>
      </w:hyperlink>
      <w:r>
        <w:rPr>
          <w:sz w:val="24"/>
        </w:rPr>
        <w:t xml:space="preserve"> пункта 8 РГПТ приводят информацию об имевших место в отчетном году случаях выявления лучевой патологии жителей территории. В ней для каждого из имеющихся диагнозов указывают число впервые выявленных в отчетном году на территории заболеваний, для которых официально установлена причинная связь с облучением, если таковые имели место. Заполнение данного </w:t>
      </w:r>
      <w:hyperlink w:history="0" w:anchor="P2053" w:tooltip="8. Наличие случаев лучевой патологии">
        <w:r>
          <w:rPr>
            <w:sz w:val="24"/>
            <w:color w:val="0000ff"/>
          </w:rPr>
          <w:t xml:space="preserve">пункта</w:t>
        </w:r>
      </w:hyperlink>
      <w:r>
        <w:rPr>
          <w:sz w:val="24"/>
        </w:rPr>
        <w:t xml:space="preserve"> паспорта ведется по данным межведомственных экспертных советов по установлению причинной связи заболеваний, инвалидности и смерти граждан, подвергшихся воздействию радиационных факторов. Случаи заболеваний, обусловленные проведением лучевой терапии, в паспорт не включаются.</w:t>
      </w:r>
    </w:p>
    <w:p>
      <w:pPr>
        <w:pStyle w:val="0"/>
        <w:spacing w:before="240" w:lineRule="auto"/>
        <w:ind w:firstLine="540"/>
        <w:jc w:val="both"/>
      </w:pPr>
      <w:r>
        <w:rPr>
          <w:sz w:val="24"/>
        </w:rPr>
        <w:t xml:space="preserve">17. В </w:t>
      </w:r>
      <w:hyperlink w:history="0" w:anchor="P2072" w:tooltip="9. Анализ мероприятий по обеспечению радиационной безопасности и выполнению норм, правил и гигиенических нормативов в области радиационной безопасности за год">
        <w:r>
          <w:rPr>
            <w:sz w:val="24"/>
            <w:color w:val="0000ff"/>
          </w:rPr>
          <w:t xml:space="preserve">пункте 9</w:t>
        </w:r>
      </w:hyperlink>
      <w:r>
        <w:rPr>
          <w:sz w:val="24"/>
        </w:rPr>
        <w:t xml:space="preserve"> РГПТ перечисляют основные мероприятия по выполнению норм и правил и в области радиационной безопасности персонала и населения, проведенные в отчетном году, представляют краткий анализ эффективности проведенных мероприятий, а также данные о количестве и характере нарушений требований радиационной безопасности, зарегистрированных в отчетном году. Приводят также результаты выполнения предложений, включенных в заключение к РГПТ за предшествующий год.</w:t>
      </w:r>
    </w:p>
    <w:p>
      <w:pPr>
        <w:pStyle w:val="0"/>
        <w:spacing w:before="240" w:lineRule="auto"/>
        <w:ind w:firstLine="540"/>
        <w:jc w:val="both"/>
      </w:pPr>
      <w:r>
        <w:rPr>
          <w:sz w:val="24"/>
        </w:rPr>
        <w:t xml:space="preserve">18. В </w:t>
      </w:r>
      <w:hyperlink w:history="0" w:anchor="P2084" w:tooltip="10. Наличие соответствующей структуры у администрации территории субъекта РФ для ликвидации радиационных аварий и происшествий, наличие средств и сил">
        <w:r>
          <w:rPr>
            <w:sz w:val="24"/>
            <w:color w:val="0000ff"/>
          </w:rPr>
          <w:t xml:space="preserve">пункте 10</w:t>
        </w:r>
      </w:hyperlink>
      <w:r>
        <w:rPr>
          <w:sz w:val="24"/>
        </w:rPr>
        <w:t xml:space="preserve"> РГПТ приводят сведения о наличии и достаточности у администрации территории сил и средств для ликвидации возможных радиационных аварий. В нем отмечают наличие на территории специальной штатной или нештатной организационной структуры для ликвидации последствий радиационных аварий, оснащение ее средствами защиты, радиационного контроля, транспортными средствами, средствами дезактивации и оказания медицинской помощи, специальной техникой. Дают заключение о достаточности или недостаточности имеющихся сил и средств с учетом возможных радиационных аварий на территории субъекта Российской Федерации.</w:t>
      </w:r>
    </w:p>
    <w:p>
      <w:pPr>
        <w:pStyle w:val="0"/>
        <w:spacing w:before="240" w:lineRule="auto"/>
        <w:ind w:firstLine="540"/>
        <w:jc w:val="both"/>
      </w:pPr>
      <w:r>
        <w:rPr>
          <w:sz w:val="24"/>
        </w:rPr>
        <w:t xml:space="preserve">19. РГПТ подписывает уполномоченное лицо с указанием должности, фамилии, имени и отчества полностью, даты, номера телефона (с кодом населенного пункта).</w:t>
      </w:r>
    </w:p>
    <w:p>
      <w:pPr>
        <w:pStyle w:val="0"/>
        <w:spacing w:before="240" w:lineRule="auto"/>
        <w:ind w:firstLine="540"/>
        <w:jc w:val="both"/>
      </w:pPr>
      <w:r>
        <w:rPr>
          <w:sz w:val="24"/>
        </w:rPr>
        <w:t xml:space="preserve">20. В </w:t>
      </w:r>
      <w:hyperlink w:history="0" w:anchor="P2129" w:tooltip="11. Оценка администрацией территории субъекта Российской Федерации радиационной ситуации на территории в отчетном году">
        <w:r>
          <w:rPr>
            <w:sz w:val="24"/>
            <w:color w:val="0000ff"/>
          </w:rPr>
          <w:t xml:space="preserve">пункте 11</w:t>
        </w:r>
      </w:hyperlink>
      <w:r>
        <w:rPr>
          <w:sz w:val="24"/>
        </w:rPr>
        <w:t xml:space="preserve"> РГПТ на основе анализа представленных в нем материалов администрация территории дает свою оценку радиационной ситуации на территории. При этом должны быть отражены следующие положения:</w:t>
      </w:r>
    </w:p>
    <w:p>
      <w:pPr>
        <w:pStyle w:val="0"/>
        <w:spacing w:before="240" w:lineRule="auto"/>
        <w:ind w:firstLine="540"/>
        <w:jc w:val="both"/>
      </w:pPr>
      <w:r>
        <w:rPr>
          <w:sz w:val="24"/>
        </w:rPr>
        <w:t xml:space="preserve">- общая оценка состояния радиационной безопасности в отчетном году ("удовлетворительная", "неудовлетворительная");</w:t>
      </w:r>
    </w:p>
    <w:p>
      <w:pPr>
        <w:pStyle w:val="0"/>
        <w:spacing w:before="240" w:lineRule="auto"/>
        <w:ind w:firstLine="540"/>
        <w:jc w:val="both"/>
      </w:pPr>
      <w:r>
        <w:rPr>
          <w:sz w:val="24"/>
        </w:rPr>
        <w:t xml:space="preserve">- наличие радиационных объектов I и II категории потенциальной радиационной опасности &lt;54&gt;;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&lt;54&gt; </w:t>
      </w:r>
      <w:hyperlink w:history="0" r:id="rId78" w:tooltip="Постановление Главного государственного санитарного врача РФ от 26.04.2010 N 40 (ред. от 16.09.2013) &quot;Об утверждении СП 2.6.1.2612-10 &quot;Основные санитарные правила обеспечения радиационной безопасности (ОСПОРБ-99/2010)&quot; (вместе с &quot;СП 2.6.1.2612-10. ОСПОРБ-99/2010. Санитарные правила и нормативы...&quot;) (Зарегистрировано в Минюсте России 11.08.2010 N 18115) {КонсультантПлюс}">
        <w:r>
          <w:rPr>
            <w:sz w:val="24"/>
            <w:color w:val="0000ff"/>
          </w:rPr>
          <w:t xml:space="preserve">Пункт 3.1</w:t>
        </w:r>
      </w:hyperlink>
      <w:r>
        <w:rPr>
          <w:sz w:val="24"/>
        </w:rPr>
        <w:t xml:space="preserve"> ОСПОРБ-99/2010.</w:t>
      </w:r>
    </w:p>
    <w:p>
      <w:pPr>
        <w:pStyle w:val="0"/>
        <w:jc w:val="both"/>
      </w:pPr>
      <w:r>
        <w:rPr>
          <w:sz w:val="24"/>
        </w:rPr>
      </w:r>
    </w:p>
    <w:p>
      <w:pPr>
        <w:pStyle w:val="0"/>
        <w:ind w:firstLine="540"/>
        <w:jc w:val="both"/>
      </w:pPr>
      <w:r>
        <w:rPr>
          <w:sz w:val="24"/>
        </w:rPr>
        <w:t xml:space="preserve">- наличие радиационных аварий и случаев лучевой патологии;</w:t>
      </w:r>
    </w:p>
    <w:p>
      <w:pPr>
        <w:pStyle w:val="0"/>
        <w:spacing w:before="240" w:lineRule="auto"/>
        <w:ind w:firstLine="540"/>
        <w:jc w:val="both"/>
      </w:pPr>
      <w:r>
        <w:rPr>
          <w:sz w:val="24"/>
        </w:rPr>
        <w:t xml:space="preserve">- задачи по повышению радиационной безопасности населения субъекта Российской Федерации.</w:t>
      </w:r>
    </w:p>
    <w:p>
      <w:pPr>
        <w:pStyle w:val="0"/>
        <w:spacing w:before="240" w:lineRule="auto"/>
        <w:ind w:firstLine="540"/>
        <w:jc w:val="both"/>
      </w:pPr>
      <w:r>
        <w:rPr>
          <w:sz w:val="24"/>
        </w:rPr>
        <w:t xml:space="preserve">Оценивают выполнение имеющих отношение к вопросам обеспечения радиационной безопасности постановлений и решений, принятых Правительством Российской Федерации или администрацией субъекта Российской Федерации, а также основных мероприятий по совершенствованию радиационной безопасности населения территории, проведенных в отчетном году и планируемых на последующие годы.</w:t>
      </w:r>
    </w:p>
    <w:p>
      <w:pPr>
        <w:pStyle w:val="0"/>
        <w:spacing w:before="240" w:lineRule="auto"/>
        <w:ind w:firstLine="540"/>
        <w:jc w:val="both"/>
      </w:pPr>
      <w:r>
        <w:rPr>
          <w:sz w:val="24"/>
        </w:rPr>
        <w:t xml:space="preserve">РГПТ с оценкой администрацией территории состояния радиационной безопасности в отчетном году подписывает руководитель администрации субъекта Российской Федерации или его заместителем с указанием его должности, фамилии, имени и отчества полностью без сокращений. Подпись руководителя администрации скрепляется печатью и проставляется дата подписания.</w:t>
      </w:r>
    </w:p>
    <w:p>
      <w:pPr>
        <w:pStyle w:val="0"/>
        <w:spacing w:before="240" w:lineRule="auto"/>
        <w:ind w:firstLine="540"/>
        <w:jc w:val="both"/>
      </w:pPr>
      <w:r>
        <w:rPr>
          <w:sz w:val="24"/>
        </w:rPr>
        <w:t xml:space="preserve">21. На РГПТ выдается заключение Управления Роспотребнадзора по субъекту Российской Федерации в котором приводится оценка:</w:t>
      </w:r>
    </w:p>
    <w:p>
      <w:pPr>
        <w:pStyle w:val="0"/>
        <w:spacing w:before="240" w:lineRule="auto"/>
        <w:ind w:firstLine="540"/>
        <w:jc w:val="both"/>
      </w:pPr>
      <w:r>
        <w:rPr>
          <w:sz w:val="24"/>
        </w:rPr>
        <w:t xml:space="preserve">- достоверности, полноты и качества содержащейся в РГПТ информации;</w:t>
      </w:r>
    </w:p>
    <w:p>
      <w:pPr>
        <w:pStyle w:val="0"/>
        <w:spacing w:before="240" w:lineRule="auto"/>
        <w:ind w:firstLine="540"/>
        <w:jc w:val="both"/>
      </w:pPr>
      <w:r>
        <w:rPr>
          <w:sz w:val="24"/>
        </w:rPr>
        <w:t xml:space="preserve">- состояния радиационной безопасности на территории субъекта Российской Федерации в отчетном году;</w:t>
      </w:r>
    </w:p>
    <w:p>
      <w:pPr>
        <w:pStyle w:val="0"/>
        <w:spacing w:before="240" w:lineRule="auto"/>
        <w:ind w:firstLine="540"/>
        <w:jc w:val="both"/>
      </w:pPr>
      <w:r>
        <w:rPr>
          <w:sz w:val="24"/>
        </w:rPr>
        <w:t xml:space="preserve">- среднего индивидуального и коллективных радиационных рисков для персонала и населения за счет всех основных источников облучения;</w:t>
      </w:r>
    </w:p>
    <w:p>
      <w:pPr>
        <w:pStyle w:val="0"/>
        <w:spacing w:before="240" w:lineRule="auto"/>
        <w:ind w:firstLine="540"/>
        <w:jc w:val="both"/>
      </w:pPr>
      <w:r>
        <w:rPr>
          <w:sz w:val="24"/>
        </w:rPr>
        <w:t xml:space="preserve">- динамики основных показателей радиационной безопасности за последние 3 года;</w:t>
      </w:r>
    </w:p>
    <w:p>
      <w:pPr>
        <w:pStyle w:val="0"/>
        <w:spacing w:before="240" w:lineRule="auto"/>
        <w:ind w:firstLine="540"/>
        <w:jc w:val="both"/>
      </w:pPr>
      <w:r>
        <w:rPr>
          <w:sz w:val="24"/>
        </w:rPr>
        <w:t xml:space="preserve">- эффективности и достаточности мероприятий, по обеспечению радиационной безопасности в регионе, проведенных администрацией в отчетном году;</w:t>
      </w:r>
    </w:p>
    <w:p>
      <w:pPr>
        <w:pStyle w:val="0"/>
        <w:spacing w:before="240" w:lineRule="auto"/>
        <w:ind w:firstLine="540"/>
        <w:jc w:val="both"/>
      </w:pPr>
      <w:r>
        <w:rPr>
          <w:sz w:val="24"/>
        </w:rPr>
        <w:t xml:space="preserve">- выполнения замечаний и предложений, приведенных в заключении к РГПТ за прошлый год.</w:t>
      </w:r>
    </w:p>
    <w:p>
      <w:pPr>
        <w:pStyle w:val="0"/>
        <w:spacing w:before="240" w:lineRule="auto"/>
        <w:ind w:firstLine="540"/>
        <w:jc w:val="both"/>
      </w:pPr>
      <w:r>
        <w:rPr>
          <w:sz w:val="24"/>
        </w:rPr>
        <w:t xml:space="preserve">Дополнительно, в адрес администрации субъекта Российской Федерации выдаются аргументированные предложения и рекомендации по повышению уровня радиационной безопасности населения территории.</w:t>
      </w:r>
    </w:p>
    <w:p>
      <w:pPr>
        <w:pStyle w:val="0"/>
        <w:spacing w:before="240" w:lineRule="auto"/>
        <w:ind w:firstLine="540"/>
        <w:jc w:val="both"/>
      </w:pPr>
      <w:r>
        <w:rPr>
          <w:sz w:val="24"/>
        </w:rPr>
        <w:t xml:space="preserve">Заключение подписывает руководитель управления Роспотребнадзора по субъекту Российской Федерации с указанием должности, фамилии, имени, отчества и даты; подпись скрепляется печатью.</w:t>
      </w:r>
    </w:p>
    <w:p>
      <w:pPr>
        <w:pStyle w:val="0"/>
        <w:spacing w:before="240" w:lineRule="auto"/>
        <w:ind w:firstLine="540"/>
        <w:jc w:val="both"/>
      </w:pPr>
      <w:r>
        <w:rPr>
          <w:sz w:val="24"/>
        </w:rPr>
        <w:t xml:space="preserve">22. РГПТ с заключением управления Роспотребнадзора по субъекту Российской Федерации представляется руководителю администрации субъекта Российской Федерации для ознакомления с заключением, где он ставит подпись, скрепленную печатью.</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2"/>
        <w:outlineLvl w:val="0"/>
        <w:jc w:val="center"/>
      </w:pPr>
      <w:r>
        <w:rPr>
          <w:sz w:val="24"/>
        </w:rPr>
        <w:t xml:space="preserve">БИБЛИОГРАФИЧЕСКИЕ ССЫЛКИ</w:t>
      </w:r>
    </w:p>
    <w:p>
      <w:pPr>
        <w:pStyle w:val="0"/>
        <w:jc w:val="both"/>
      </w:pPr>
      <w:r>
        <w:rPr>
          <w:sz w:val="24"/>
        </w:rPr>
      </w:r>
    </w:p>
    <w:p>
      <w:pPr>
        <w:pStyle w:val="0"/>
        <w:ind w:firstLine="540"/>
        <w:jc w:val="both"/>
      </w:pPr>
      <w:r>
        <w:rPr>
          <w:sz w:val="24"/>
        </w:rPr>
        <w:t xml:space="preserve">1. Федеральный </w:t>
      </w:r>
      <w:hyperlink w:history="0" r:id="rId79" w:tooltip="Федеральный закон от 30.03.1999 N 52-ФЗ (ред. от 31.07.2025) &quot;О санитарно-эпидемиологическом благополучии населения&quot; {КонсультантПлюс}">
        <w:r>
          <w:rPr>
            <w:sz w:val="24"/>
            <w:color w:val="0000ff"/>
          </w:rPr>
          <w:t xml:space="preserve">закон</w:t>
        </w:r>
      </w:hyperlink>
      <w:r>
        <w:rPr>
          <w:sz w:val="24"/>
        </w:rPr>
        <w:t xml:space="preserve"> от 30.03.1999 N 52-ФЗ "О санитарно-эпидемиологическом благополучии населения".</w:t>
      </w:r>
    </w:p>
    <w:p>
      <w:pPr>
        <w:pStyle w:val="0"/>
        <w:spacing w:before="240" w:lineRule="auto"/>
        <w:ind w:firstLine="540"/>
        <w:jc w:val="both"/>
      </w:pPr>
      <w:r>
        <w:rPr>
          <w:sz w:val="24"/>
        </w:rPr>
        <w:t xml:space="preserve">2. Федеральный </w:t>
      </w:r>
      <w:hyperlink w:history="0" r:id="rId80" w:tooltip="Федеральный закон от 09.01.1996 N 3-ФЗ (ред. от 31.07.2025) &quot;О радиационной безопасности населения&quot; {КонсультантПлюс}">
        <w:r>
          <w:rPr>
            <w:sz w:val="24"/>
            <w:color w:val="0000ff"/>
          </w:rPr>
          <w:t xml:space="preserve">закон</w:t>
        </w:r>
      </w:hyperlink>
      <w:r>
        <w:rPr>
          <w:sz w:val="24"/>
        </w:rPr>
        <w:t xml:space="preserve"> от 09.01.1996 N 3-ФЗ "О радиационной безопасности населения".</w:t>
      </w:r>
    </w:p>
    <w:p>
      <w:pPr>
        <w:pStyle w:val="0"/>
        <w:spacing w:before="240" w:lineRule="auto"/>
        <w:ind w:firstLine="540"/>
        <w:jc w:val="both"/>
      </w:pPr>
      <w:r>
        <w:rPr>
          <w:sz w:val="24"/>
        </w:rPr>
        <w:t xml:space="preserve">3. Федеральный </w:t>
      </w:r>
      <w:hyperlink w:history="0" r:id="rId81" w:tooltip="Федеральный закон от 28.12.2013 N 412-ФЗ (ред. от 31.07.2025) &quot;Об аккредитации в национальной системе аккредитации&quot; {КонсультантПлюс}">
        <w:r>
          <w:rPr>
            <w:sz w:val="24"/>
            <w:color w:val="0000ff"/>
          </w:rPr>
          <w:t xml:space="preserve">закон</w:t>
        </w:r>
      </w:hyperlink>
      <w:r>
        <w:rPr>
          <w:sz w:val="24"/>
        </w:rPr>
        <w:t xml:space="preserve"> от 28.12.2013 N 412-ФЗ "Об аккредитации в национальной системе аккредитации".</w:t>
      </w:r>
    </w:p>
    <w:p>
      <w:pPr>
        <w:pStyle w:val="0"/>
        <w:spacing w:before="240" w:lineRule="auto"/>
        <w:ind w:firstLine="540"/>
        <w:jc w:val="both"/>
      </w:pPr>
      <w:r>
        <w:rPr>
          <w:sz w:val="24"/>
        </w:rPr>
        <w:t xml:space="preserve">4. Технический </w:t>
      </w:r>
      <w:hyperlink w:history="0" r:id="rId82" w:tooltip="Решение Комиссии Таможенного союза от 09.12.2011 N 880 (ред. от 22.04.2024) &quot;О принятии технического регламента Таможенного союза &quot;О безопасности пищевой продукции&quot; (вместе с &quot;ТР ТС 021/2011. Технический регламент Таможенного союза. О безопасности пищевой продукции&quot;) {КонсультантПлюс}">
        <w:r>
          <w:rPr>
            <w:sz w:val="24"/>
            <w:color w:val="0000ff"/>
          </w:rPr>
          <w:t xml:space="preserve">регламент</w:t>
        </w:r>
      </w:hyperlink>
      <w:r>
        <w:rPr>
          <w:sz w:val="24"/>
        </w:rPr>
        <w:t xml:space="preserve"> Таможенного союза "О безопасности пищевой продукции" (ТР ТС 021/2011).</w:t>
      </w:r>
    </w:p>
    <w:p>
      <w:pPr>
        <w:pStyle w:val="0"/>
        <w:spacing w:before="240" w:lineRule="auto"/>
        <w:ind w:firstLine="540"/>
        <w:jc w:val="both"/>
      </w:pPr>
      <w:r>
        <w:rPr>
          <w:sz w:val="24"/>
        </w:rPr>
        <w:t xml:space="preserve">5. </w:t>
      </w:r>
      <w:hyperlink w:history="0" r:id="rId83" w:tooltip="Постановление Правительства РФ от 28.01.1997 N 93 (ред. от 10.07.2014) &quot;О Порядке разработки радиационно-гигиенических паспортов организаций и территорий&quot; {КонсультантПлюс}">
        <w:r>
          <w:rPr>
            <w:sz w:val="24"/>
            <w:color w:val="0000ff"/>
          </w:rPr>
          <w:t xml:space="preserve">Постановление</w:t>
        </w:r>
      </w:hyperlink>
      <w:r>
        <w:rPr>
          <w:sz w:val="24"/>
        </w:rPr>
        <w:t xml:space="preserve"> Правительства Российской Федерации от 28.01.1997 N 93 "О порядке разработки радиационно-гигиенических паспортов организаций и территорий".</w:t>
      </w:r>
    </w:p>
    <w:p>
      <w:pPr>
        <w:pStyle w:val="0"/>
        <w:spacing w:before="240" w:lineRule="auto"/>
        <w:ind w:firstLine="540"/>
        <w:jc w:val="both"/>
      </w:pPr>
      <w:r>
        <w:rPr>
          <w:sz w:val="24"/>
        </w:rPr>
        <w:t xml:space="preserve">6. </w:t>
      </w:r>
      <w:hyperlink w:history="0" r:id="rId84" w:tooltip="Постановление Правительства РФ от 16.06.1997 N 718 (ред. от 05.06.2013) &quot;О порядке создания Единой государственной системы контроля и учета индивидуальных доз облучения граждан&quot; {КонсультантПлюс}">
        <w:r>
          <w:rPr>
            <w:sz w:val="24"/>
            <w:color w:val="0000ff"/>
          </w:rPr>
          <w:t xml:space="preserve">Постановление</w:t>
        </w:r>
      </w:hyperlink>
      <w:r>
        <w:rPr>
          <w:sz w:val="24"/>
        </w:rPr>
        <w:t xml:space="preserve"> Правительства Российской Федерации от 16.06.1997 N 718 "О порядке создания единой государственной системы контроля и учета индивидуальных доз облучения граждан".</w:t>
      </w:r>
    </w:p>
    <w:p>
      <w:pPr>
        <w:pStyle w:val="0"/>
        <w:spacing w:before="240" w:lineRule="auto"/>
        <w:ind w:firstLine="540"/>
        <w:jc w:val="both"/>
      </w:pPr>
      <w:r>
        <w:rPr>
          <w:sz w:val="24"/>
        </w:rPr>
        <w:t xml:space="preserve">7. </w:t>
      </w:r>
      <w:hyperlink w:history="0" r:id="rId85" w:tooltip="Распоряжение Правительства РФ от 14.09.2009 N 1311-р (ред. от 06.11.2024) &lt;О перечне организаций, эксплуатирующих особо радиационно опасные и ядерно опасные производства и объекты&gt; {КонсультантПлюс}">
        <w:r>
          <w:rPr>
            <w:sz w:val="24"/>
            <w:color w:val="0000ff"/>
          </w:rPr>
          <w:t xml:space="preserve">Распоряжение</w:t>
        </w:r>
      </w:hyperlink>
      <w:r>
        <w:rPr>
          <w:sz w:val="24"/>
        </w:rPr>
        <w:t xml:space="preserve"> Правительства Российской Федерации от 14.09.2009 N 1311-р "О перечне организаций, эксплуатирующих особо радиационно-опасные и ядерно-опасные производства и объекты".</w:t>
      </w:r>
    </w:p>
    <w:p>
      <w:pPr>
        <w:pStyle w:val="0"/>
        <w:spacing w:before="240" w:lineRule="auto"/>
        <w:ind w:firstLine="540"/>
        <w:jc w:val="both"/>
      </w:pPr>
      <w:r>
        <w:rPr>
          <w:sz w:val="24"/>
        </w:rPr>
        <w:t xml:space="preserve">8. </w:t>
      </w:r>
      <w:hyperlink w:history="0" r:id="rId86" w:tooltip="Постановление Главного государственного санитарного врача РФ от 07.07.2009 N 47 &quot;Об утверждении СанПиН 2.6.1.2523-09&quot; (вместе с &quot;НРБ-99/2009. СанПиН 2.6.1.2523-09. Нормы радиационной безопасности. Санитарные правила и нормативы&quot;) (Зарегистрировано в Минюсте РФ 14.08.2009 N 14534) {КонсультантПлюс}">
        <w:r>
          <w:rPr>
            <w:sz w:val="24"/>
            <w:color w:val="0000ff"/>
          </w:rPr>
          <w:t xml:space="preserve">СанПиН 2.6.1.2523-09</w:t>
        </w:r>
      </w:hyperlink>
      <w:r>
        <w:rPr>
          <w:sz w:val="24"/>
        </w:rPr>
        <w:t xml:space="preserve"> "Нормы радиационной безопасности (НРБ-99/2009)".</w:t>
      </w:r>
    </w:p>
    <w:p>
      <w:pPr>
        <w:pStyle w:val="0"/>
        <w:spacing w:before="240" w:lineRule="auto"/>
        <w:ind w:firstLine="540"/>
        <w:jc w:val="both"/>
      </w:pPr>
      <w:r>
        <w:rPr>
          <w:sz w:val="24"/>
        </w:rPr>
        <w:t xml:space="preserve">9. </w:t>
      </w:r>
      <w:hyperlink w:history="0" r:id="rId87" w:tooltip="Постановление Главного государственного санитарного врача РФ от 26.04.2010 N 40 (ред. от 16.09.2013) &quot;Об утверждении СП 2.6.1.2612-10 &quot;Основные санитарные правила обеспечения радиационной безопасности (ОСПОРБ-99/2010)&quot; (вместе с &quot;СП 2.6.1.2612-10. ОСПОРБ-99/2010. Санитарные правила и нормативы...&quot;) (Зарегистрировано в Минюсте России 11.08.2010 N 18115) {КонсультантПлюс}">
        <w:r>
          <w:rPr>
            <w:sz w:val="24"/>
            <w:color w:val="0000ff"/>
          </w:rPr>
          <w:t xml:space="preserve">СП 2.6.1.2612-10</w:t>
        </w:r>
      </w:hyperlink>
      <w:r>
        <w:rPr>
          <w:sz w:val="24"/>
        </w:rPr>
        <w:t xml:space="preserve"> "Основные санитарные правила обеспечения радиационной безопасности (ОСПОРБ-99/2010)".</w:t>
      </w:r>
    </w:p>
    <w:p>
      <w:pPr>
        <w:pStyle w:val="0"/>
        <w:spacing w:before="240" w:lineRule="auto"/>
        <w:ind w:firstLine="540"/>
        <w:jc w:val="both"/>
      </w:pPr>
      <w:r>
        <w:rPr>
          <w:sz w:val="24"/>
        </w:rPr>
        <w:t xml:space="preserve">10. </w:t>
      </w:r>
      <w:hyperlink w:history="0" r:id="rId88" w:tooltip="Приказ Роспотребнадзора от 09.01.2007 N 1 &quot;О создании межрегиональных центров по вопросам радиационной безопасности&quot; ------------ Утратил силу или отменен {КонсультантПлюс}">
        <w:r>
          <w:rPr>
            <w:sz w:val="24"/>
            <w:color w:val="0000ff"/>
          </w:rPr>
          <w:t xml:space="preserve">Приказ</w:t>
        </w:r>
      </w:hyperlink>
      <w:r>
        <w:rPr>
          <w:sz w:val="24"/>
        </w:rPr>
        <w:t xml:space="preserve"> Федеральной службы по надзору в сфере защиты прав потребителей и благополучия человека от 09.01.2007 N 1 "О создании межрегиональных центров по вопросам радиационной безопасности".</w:t>
      </w:r>
    </w:p>
    <w:p>
      <w:pPr>
        <w:pStyle w:val="0"/>
        <w:spacing w:before="240" w:lineRule="auto"/>
        <w:ind w:firstLine="540"/>
        <w:jc w:val="both"/>
      </w:pPr>
      <w:r>
        <w:rPr>
          <w:sz w:val="24"/>
        </w:rPr>
        <w:t xml:space="preserve">11. </w:t>
      </w:r>
      <w:hyperlink w:history="0" r:id="rId89" w:tooltip="Приказ Роспотребнадзора от 21.01.2011 N 14 &quot;О реорганизации межрегиональных центров по вопросам радиационной безопасности&quot; {КонсультантПлюс}">
        <w:r>
          <w:rPr>
            <w:sz w:val="24"/>
            <w:color w:val="0000ff"/>
          </w:rPr>
          <w:t xml:space="preserve">Приказ</w:t>
        </w:r>
      </w:hyperlink>
      <w:r>
        <w:rPr>
          <w:sz w:val="24"/>
        </w:rPr>
        <w:t xml:space="preserve"> Федеральной службы по надзору в сфере защиты прав потребителей и благополучия человека от 21.01.2011 N 14 "О реорганизации межрегиональных центров по вопросам радиационной безопасности".</w:t>
      </w:r>
    </w:p>
    <w:p>
      <w:pPr>
        <w:pStyle w:val="0"/>
        <w:spacing w:before="240" w:lineRule="auto"/>
        <w:ind w:firstLine="540"/>
        <w:jc w:val="both"/>
      </w:pPr>
      <w:r>
        <w:rPr>
          <w:sz w:val="24"/>
        </w:rPr>
        <w:t xml:space="preserve">12. </w:t>
      </w:r>
      <w:hyperlink w:history="0" r:id="rId90" w:tooltip="&quot;МР 2.6.1.0063-12. 2.6.1. Ионизирующее излучение, радиационная безопасность. Контроль доз облучения населения, проживающего в зоне наблюдения радиационного объекта, в условиях его нормальной эксплуатации и радиационной аварии. Методические рекомендации&quot; (утв. Главным государственным санитарным врачом РФ 06.06.2012) {КонсультантПлюс}">
        <w:r>
          <w:rPr>
            <w:sz w:val="24"/>
            <w:color w:val="0000ff"/>
          </w:rPr>
          <w:t xml:space="preserve">МР 2.6.1.0063-12</w:t>
        </w:r>
      </w:hyperlink>
      <w:r>
        <w:rPr>
          <w:sz w:val="24"/>
        </w:rPr>
        <w:t xml:space="preserve"> "Контроль доз облучения населения, проживающего в зоне наблюдения радиационного объекта, в условиях его нормальной эксплуатации и радиационной аварии".</w:t>
      </w:r>
    </w:p>
    <w:p>
      <w:pPr>
        <w:pStyle w:val="0"/>
        <w:spacing w:before="240" w:lineRule="auto"/>
        <w:ind w:firstLine="540"/>
        <w:jc w:val="both"/>
      </w:pPr>
      <w:r>
        <w:rPr>
          <w:sz w:val="24"/>
        </w:rPr>
        <w:t xml:space="preserve">13. Методические </w:t>
      </w:r>
      <w:hyperlink w:history="0" r:id="rId91" w:tooltip="&quot;Методические рекомендации &quot;Форма федерального государственного статистического наблюдения N 4-ДОЗ &quot;Сведения о дозах облучения населения за счет естественного и техногенно измененного радиационного фона&quot; (утв. Роспотребнадзором 19.04.2007 N 0100/4027-07-34) {КонсультантПлюс}">
        <w:r>
          <w:rPr>
            <w:sz w:val="24"/>
            <w:color w:val="0000ff"/>
          </w:rPr>
          <w:t xml:space="preserve">рекомендации</w:t>
        </w:r>
      </w:hyperlink>
      <w:r>
        <w:rPr>
          <w:sz w:val="24"/>
        </w:rPr>
        <w:t xml:space="preserve"> 0100/4027-07-34 "Форма федерального государственного статистического наблюдения N 4-ДОЗ".</w:t>
      </w:r>
    </w:p>
    <w:p>
      <w:pPr>
        <w:pStyle w:val="0"/>
        <w:jc w:val="both"/>
      </w:pPr>
      <w:r>
        <w:rPr>
          <w:sz w:val="24"/>
        </w:rPr>
      </w:r>
    </w:p>
    <w:p>
      <w:pPr>
        <w:pStyle w:val="0"/>
        <w:jc w:val="both"/>
      </w:pPr>
      <w:r>
        <w:rPr>
          <w:sz w:val="24"/>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"МР 2.6.1.0257-21. 2.6.1. Ионизирующее излучение, радиационная безопасность. Проведение радиационно-гигиенической паспор...</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20.07.2026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customStyle="1" w:styleId="9">
    <w:name w:val="ConsPlusTextList"/>
    <w:pPr>
      <w:widowControl w:val="0"/>
      <w:autoSpaceDE w:val="0"/>
      <w:autoSpaceDN w:val="0"/>
    </w:pPr>
    <w:rPr>
      <w:rFonts w:ascii="Times New Roman" w:hAnsi="Times New Roman" w:cs="Times New Roman"/>
      <w:sz w:val="24"/>
      <w:lang w:val="ru-RU" w:eastAsia="ru-RU" w:bidi="ar-SA"/>
    </w:rPr>
  </w:style>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customStyle="1" w:styleId="9">
    <w:name w:val="ConsPlusTextList"/>
    <w:pPr>
      <w:widowControl w:val="0"/>
      <w:autoSpaceDE w:val="0"/>
      <w:autoSpaceDN w:val="0"/>
    </w:pPr>
    <w:rPr>
      <w:rFonts w:ascii="Times New Roman" w:hAnsi="Times New Roman" w:cs="Times New Roman"/>
      <w:sz w:val="24"/>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EXP&amp;n=323780&amp;date=20.07.2026" TargetMode = "External"/><Relationship Id="rId9" Type="http://schemas.openxmlformats.org/officeDocument/2006/relationships/hyperlink" Target="https://login.consultant.ru/link/?req=doc&amp;base=LAW&amp;n=511735&amp;date=20.07.2026&amp;dst=100109&amp;field=134" TargetMode = "External"/><Relationship Id="rId10" Type="http://schemas.openxmlformats.org/officeDocument/2006/relationships/hyperlink" Target="https://login.consultant.ru/link/?req=doc&amp;base=LAW&amp;n=165529&amp;date=20.07.2026" TargetMode = "External"/><Relationship Id="rId11" Type="http://schemas.openxmlformats.org/officeDocument/2006/relationships/hyperlink" Target="https://login.consultant.ru/link/?req=doc&amp;base=LAW&amp;n=154412&amp;date=20.07.2026&amp;dst=9&amp;field=134" TargetMode = "External"/><Relationship Id="rId12" Type="http://schemas.openxmlformats.org/officeDocument/2006/relationships/hyperlink" Target="https://login.consultant.ru/link/?req=doc&amp;base=LAW&amp;n=154412&amp;date=20.07.2026&amp;dst=12&amp;field=134" TargetMode = "External"/><Relationship Id="rId13" Type="http://schemas.openxmlformats.org/officeDocument/2006/relationships/hyperlink" Target="https://login.consultant.ru/link/?req=doc&amp;base=LAW&amp;n=147391&amp;date=20.07.2026" TargetMode = "External"/><Relationship Id="rId14" Type="http://schemas.openxmlformats.org/officeDocument/2006/relationships/hyperlink" Target="https://login.consultant.ru/link/?req=doc&amp;base=LAW&amp;n=511703&amp;date=20.07.2026" TargetMode = "External"/><Relationship Id="rId15" Type="http://schemas.openxmlformats.org/officeDocument/2006/relationships/hyperlink" Target="https://login.consultant.ru/link/?req=doc&amp;base=LAW&amp;n=165529&amp;date=20.07.2026&amp;dst=100026&amp;field=134" TargetMode = "External"/><Relationship Id="rId16" Type="http://schemas.openxmlformats.org/officeDocument/2006/relationships/hyperlink" Target="https://login.consultant.ru/link/?req=doc&amp;base=LAW&amp;n=90936&amp;date=20.07.2026&amp;dst=100017&amp;field=134" TargetMode = "External"/><Relationship Id="rId17" Type="http://schemas.openxmlformats.org/officeDocument/2006/relationships/hyperlink" Target="https://login.consultant.ru/link/?req=doc&amp;base=LAW&amp;n=90936&amp;date=20.07.2026&amp;dst=102232&amp;field=134" TargetMode = "External"/><Relationship Id="rId18" Type="http://schemas.openxmlformats.org/officeDocument/2006/relationships/hyperlink" Target="https://login.consultant.ru/link/?req=doc&amp;base=LAW&amp;n=90936&amp;date=20.07.2026&amp;dst=100017&amp;field=134" TargetMode = "External"/><Relationship Id="rId19" Type="http://schemas.openxmlformats.org/officeDocument/2006/relationships/hyperlink" Target="https://login.consultant.ru/link/?req=doc&amp;base=LAW&amp;n=511735&amp;date=20.07.2026&amp;dst=22&amp;field=134" TargetMode = "External"/><Relationship Id="rId20" Type="http://schemas.openxmlformats.org/officeDocument/2006/relationships/hyperlink" Target="https://login.consultant.ru/link/?req=doc&amp;base=LAW&amp;n=433501&amp;date=20.07.2026&amp;dst=101172&amp;field=134" TargetMode = "External"/><Relationship Id="rId21" Type="http://schemas.openxmlformats.org/officeDocument/2006/relationships/hyperlink" Target="https://login.consultant.ru/link/?req=doc&amp;base=LAW&amp;n=433501&amp;date=20.07.2026&amp;dst=101254&amp;field=134" TargetMode = "External"/><Relationship Id="rId22" Type="http://schemas.openxmlformats.org/officeDocument/2006/relationships/hyperlink" Target="https://login.consultant.ru/link/?req=doc&amp;base=LAW&amp;n=433349&amp;date=20.07.2026&amp;dst=100013&amp;field=134" TargetMode = "External"/><Relationship Id="rId23" Type="http://schemas.openxmlformats.org/officeDocument/2006/relationships/hyperlink" Target="https://login.consultant.ru/link/?req=doc&amp;base=LAW&amp;n=433501&amp;date=20.07.2026&amp;dst=101809&amp;field=134" TargetMode = "External"/><Relationship Id="rId24" Type="http://schemas.openxmlformats.org/officeDocument/2006/relationships/hyperlink" Target="https://login.consultant.ru/link/?req=doc&amp;base=LAW&amp;n=147391&amp;date=20.07.2026" TargetMode = "External"/><Relationship Id="rId25" Type="http://schemas.openxmlformats.org/officeDocument/2006/relationships/hyperlink" Target="https://login.consultant.ru/link/?req=doc&amp;base=LAW&amp;n=511703&amp;date=20.07.2026" TargetMode = "External"/><Relationship Id="rId26" Type="http://schemas.openxmlformats.org/officeDocument/2006/relationships/hyperlink" Target="https://login.consultant.ru/link/?req=doc&amp;base=EXP&amp;n=386418&amp;date=20.07.2026" TargetMode = "External"/><Relationship Id="rId27" Type="http://schemas.openxmlformats.org/officeDocument/2006/relationships/hyperlink" Target="https://login.consultant.ru/link/?req=doc&amp;base=EXP&amp;n=500409&amp;date=20.07.2026" TargetMode = "External"/><Relationship Id="rId28" Type="http://schemas.openxmlformats.org/officeDocument/2006/relationships/hyperlink" Target="https://login.consultant.ru/link/?req=doc&amp;base=LAW&amp;n=165529&amp;date=20.07.2026&amp;dst=100026&amp;field=134" TargetMode = "External"/><Relationship Id="rId29" Type="http://schemas.openxmlformats.org/officeDocument/2006/relationships/hyperlink" Target="https://login.consultant.ru/link/?req=doc&amp;base=LAW&amp;n=538095&amp;date=20.07.2026" TargetMode = "External"/><Relationship Id="rId30" Type="http://schemas.openxmlformats.org/officeDocument/2006/relationships/hyperlink" Target="https://login.consultant.ru/link/?req=doc&amp;base=LAW&amp;n=154412&amp;date=20.07.2026&amp;dst=100128&amp;field=134" TargetMode = "External"/><Relationship Id="rId31" Type="http://schemas.openxmlformats.org/officeDocument/2006/relationships/hyperlink" Target="https://login.consultant.ru/link/?req=doc&amp;base=LAW&amp;n=489965&amp;date=20.07.2026&amp;dst=100122&amp;field=134" TargetMode = "External"/><Relationship Id="rId32" Type="http://schemas.openxmlformats.org/officeDocument/2006/relationships/hyperlink" Target="https://login.consultant.ru/link/?req=doc&amp;base=LAW&amp;n=154412&amp;date=20.07.2026&amp;dst=17&amp;field=134" TargetMode = "External"/><Relationship Id="rId33" Type="http://schemas.openxmlformats.org/officeDocument/2006/relationships/hyperlink" Target="https://login.consultant.ru/link/?req=doc&amp;base=LAW&amp;n=154412&amp;date=20.07.2026&amp;dst=100202&amp;field=134" TargetMode = "External"/><Relationship Id="rId34" Type="http://schemas.openxmlformats.org/officeDocument/2006/relationships/hyperlink" Target="https://login.consultant.ru/link/?req=doc&amp;base=LAW&amp;n=154412&amp;date=20.07.2026&amp;dst=34&amp;field=134" TargetMode = "External"/><Relationship Id="rId35" Type="http://schemas.openxmlformats.org/officeDocument/2006/relationships/hyperlink" Target="https://login.consultant.ru/link/?req=doc&amp;base=LAW&amp;n=154412&amp;date=20.07.2026&amp;dst=100128&amp;field=134" TargetMode = "External"/><Relationship Id="rId36" Type="http://schemas.openxmlformats.org/officeDocument/2006/relationships/hyperlink" Target="https://login.consultant.ru/link/?req=doc&amp;base=LAW&amp;n=154412&amp;date=20.07.2026&amp;dst=100297&amp;field=134" TargetMode = "External"/><Relationship Id="rId37" Type="http://schemas.openxmlformats.org/officeDocument/2006/relationships/hyperlink" Target="https://login.consultant.ru/link/?req=doc&amp;base=LAW&amp;n=154412&amp;date=20.07.2026&amp;dst=100092&amp;field=134" TargetMode = "External"/><Relationship Id="rId38" Type="http://schemas.openxmlformats.org/officeDocument/2006/relationships/hyperlink" Target="https://login.consultant.ru/link/?req=doc&amp;base=LAW&amp;n=511703&amp;date=20.07.2026" TargetMode = "External"/><Relationship Id="rId39" Type="http://schemas.openxmlformats.org/officeDocument/2006/relationships/hyperlink" Target="https://login.consultant.ru/link/?req=doc&amp;base=LAW&amp;n=154412&amp;date=20.07.2026&amp;dst=100463&amp;field=134" TargetMode = "External"/><Relationship Id="rId40" Type="http://schemas.openxmlformats.org/officeDocument/2006/relationships/hyperlink" Target="https://login.consultant.ru/link/?req=doc&amp;base=LAW&amp;n=154412&amp;date=20.07.2026&amp;dst=100092&amp;field=134" TargetMode = "External"/><Relationship Id="rId41" Type="http://schemas.openxmlformats.org/officeDocument/2006/relationships/hyperlink" Target="https://login.consultant.ru/link/?req=doc&amp;base=LAW&amp;n=90936&amp;date=20.07.2026&amp;dst=101188&amp;field=134" TargetMode = "External"/><Relationship Id="rId42" Type="http://schemas.openxmlformats.org/officeDocument/2006/relationships/hyperlink" Target="https://login.consultant.ru/link/?req=doc&amp;base=LAW&amp;n=90936&amp;date=20.07.2026&amp;dst=101555&amp;field=134" TargetMode = "External"/><Relationship Id="rId43" Type="http://schemas.openxmlformats.org/officeDocument/2006/relationships/hyperlink" Target="https://login.consultant.ru/link/?req=doc&amp;base=LAW&amp;n=154412&amp;date=20.07.2026&amp;dst=100092&amp;field=134" TargetMode = "External"/><Relationship Id="rId44" Type="http://schemas.openxmlformats.org/officeDocument/2006/relationships/hyperlink" Target="https://login.consultant.ru/link/?req=doc&amp;base=LAW&amp;n=511703&amp;date=20.07.2026" TargetMode = "External"/><Relationship Id="rId45" Type="http://schemas.openxmlformats.org/officeDocument/2006/relationships/hyperlink" Target="https://login.consultant.ru/link/?req=doc&amp;base=LAW&amp;n=154412&amp;date=20.07.2026&amp;dst=100092&amp;field=134" TargetMode = "External"/><Relationship Id="rId46" Type="http://schemas.openxmlformats.org/officeDocument/2006/relationships/hyperlink" Target="https://login.consultant.ru/link/?req=doc&amp;base=LAW&amp;n=511703&amp;date=20.07.2026" TargetMode = "External"/><Relationship Id="rId47" Type="http://schemas.openxmlformats.org/officeDocument/2006/relationships/hyperlink" Target="https://login.consultant.ru/link/?req=doc&amp;base=LAW&amp;n=476373&amp;date=20.07.2026&amp;dst=101182&amp;field=134" TargetMode = "External"/><Relationship Id="rId48" Type="http://schemas.openxmlformats.org/officeDocument/2006/relationships/hyperlink" Target="https://login.consultant.ru/link/?req=doc&amp;base=LAW&amp;n=90936&amp;date=20.07.2026&amp;dst=102232&amp;field=134" TargetMode = "External"/><Relationship Id="rId49" Type="http://schemas.openxmlformats.org/officeDocument/2006/relationships/hyperlink" Target="https://login.consultant.ru/link/?req=doc&amp;base=LAW&amp;n=433501&amp;date=20.07.2026&amp;dst=101172&amp;field=134" TargetMode = "External"/><Relationship Id="rId50" Type="http://schemas.openxmlformats.org/officeDocument/2006/relationships/hyperlink" Target="https://login.consultant.ru/link/?req=doc&amp;base=LAW&amp;n=154412&amp;date=20.07.2026&amp;dst=100092&amp;field=134" TargetMode = "External"/><Relationship Id="rId51" Type="http://schemas.openxmlformats.org/officeDocument/2006/relationships/hyperlink" Target="https://login.consultant.ru/link/?req=doc&amp;base=LAW&amp;n=433501&amp;date=20.07.2026&amp;dst=101172&amp;field=134" TargetMode = "External"/><Relationship Id="rId52" Type="http://schemas.openxmlformats.org/officeDocument/2006/relationships/hyperlink" Target="https://login.consultant.ru/link/?req=doc&amp;base=LAW&amp;n=154412&amp;date=20.07.2026&amp;dst=100152&amp;field=134" TargetMode = "External"/><Relationship Id="rId53" Type="http://schemas.openxmlformats.org/officeDocument/2006/relationships/hyperlink" Target="https://login.consultant.ru/link/?req=doc&amp;base=LAW&amp;n=131643&amp;date=20.07.2026&amp;dst=100005&amp;field=134" TargetMode = "External"/><Relationship Id="rId54" Type="http://schemas.openxmlformats.org/officeDocument/2006/relationships/hyperlink" Target="https://login.consultant.ru/link/?req=doc&amp;base=LAW&amp;n=433349&amp;date=20.07.2026&amp;dst=100013&amp;field=134" TargetMode = "External"/><Relationship Id="rId55" Type="http://schemas.openxmlformats.org/officeDocument/2006/relationships/hyperlink" Target="https://login.consultant.ru/link/?req=doc&amp;base=LAW&amp;n=433349&amp;date=20.07.2026&amp;dst=100013&amp;field=134" TargetMode = "External"/><Relationship Id="rId56" Type="http://schemas.openxmlformats.org/officeDocument/2006/relationships/hyperlink" Target="https://login.consultant.ru/link/?req=doc&amp;base=LAW&amp;n=154412&amp;date=20.07.2026&amp;dst=173&amp;field=134" TargetMode = "External"/><Relationship Id="rId57" Type="http://schemas.openxmlformats.org/officeDocument/2006/relationships/hyperlink" Target="https://login.consultant.ru/link/?req=doc&amp;base=LAW&amp;n=154412&amp;date=20.07.2026&amp;dst=100627&amp;field=134" TargetMode = "External"/><Relationship Id="rId58" Type="http://schemas.openxmlformats.org/officeDocument/2006/relationships/hyperlink" Target="https://login.consultant.ru/link/?req=doc&amp;base=LAW&amp;n=154412&amp;date=20.07.2026&amp;dst=100214&amp;field=134" TargetMode = "External"/><Relationship Id="rId59" Type="http://schemas.openxmlformats.org/officeDocument/2006/relationships/hyperlink" Target="https://login.consultant.ru/link/?req=doc&amp;base=LAW&amp;n=154412&amp;date=20.07.2026&amp;dst=100478&amp;field=134" TargetMode = "External"/><Relationship Id="rId60" Type="http://schemas.openxmlformats.org/officeDocument/2006/relationships/hyperlink" Target="https://login.consultant.ru/link/?req=doc&amp;base=LAW&amp;n=90936&amp;date=20.07.2026&amp;dst=102232&amp;field=134" TargetMode = "External"/><Relationship Id="rId61" Type="http://schemas.openxmlformats.org/officeDocument/2006/relationships/hyperlink" Target="https://login.consultant.ru/link/?req=doc&amp;base=LAW&amp;n=90936&amp;date=20.07.2026&amp;dst=100062&amp;field=134" TargetMode = "External"/><Relationship Id="rId62" Type="http://schemas.openxmlformats.org/officeDocument/2006/relationships/hyperlink" Target="https://login.consultant.ru/link/?req=doc&amp;base=LAW&amp;n=154412&amp;date=20.07.2026&amp;dst=55&amp;field=134" TargetMode = "External"/><Relationship Id="rId63" Type="http://schemas.openxmlformats.org/officeDocument/2006/relationships/image" Target="media/image2.wmf"/><Relationship Id="rId64" Type="http://schemas.openxmlformats.org/officeDocument/2006/relationships/image" Target="media/image3.wmf"/><Relationship Id="rId65" Type="http://schemas.openxmlformats.org/officeDocument/2006/relationships/image" Target="media/image4.wmf"/><Relationship Id="rId66" Type="http://schemas.openxmlformats.org/officeDocument/2006/relationships/image" Target="media/image5.wmf"/><Relationship Id="rId67" Type="http://schemas.openxmlformats.org/officeDocument/2006/relationships/hyperlink" Target="https://login.consultant.ru/link/?req=doc&amp;base=LAW&amp;n=154412&amp;date=20.07.2026&amp;dst=100128&amp;field=134" TargetMode = "External"/><Relationship Id="rId68" Type="http://schemas.openxmlformats.org/officeDocument/2006/relationships/hyperlink" Target="https://login.consultant.ru/link/?req=doc&amp;base=LAW&amp;n=90936&amp;date=20.07.2026&amp;dst=102232&amp;field=134" TargetMode = "External"/><Relationship Id="rId69" Type="http://schemas.openxmlformats.org/officeDocument/2006/relationships/hyperlink" Target="https://login.consultant.ru/link/?req=doc&amp;base=LAW&amp;n=90936&amp;date=20.07.2026&amp;dst=101555&amp;field=134" TargetMode = "External"/><Relationship Id="rId70" Type="http://schemas.openxmlformats.org/officeDocument/2006/relationships/hyperlink" Target="https://login.consultant.ru/link/?req=doc&amp;base=LAW&amp;n=511703&amp;date=20.07.2026" TargetMode = "External"/><Relationship Id="rId71" Type="http://schemas.openxmlformats.org/officeDocument/2006/relationships/hyperlink" Target="https://login.consultant.ru/link/?req=doc&amp;base=LAW&amp;n=476373&amp;date=20.07.2026&amp;dst=101182&amp;field=134" TargetMode = "External"/><Relationship Id="rId72" Type="http://schemas.openxmlformats.org/officeDocument/2006/relationships/hyperlink" Target="https://login.consultant.ru/link/?req=doc&amp;base=LAW&amp;n=433501&amp;date=20.07.2026&amp;dst=101809&amp;field=134" TargetMode = "External"/><Relationship Id="rId73" Type="http://schemas.openxmlformats.org/officeDocument/2006/relationships/hyperlink" Target="https://login.consultant.ru/link/?req=doc&amp;base=LAW&amp;n=511703&amp;date=20.07.2026" TargetMode = "External"/><Relationship Id="rId74" Type="http://schemas.openxmlformats.org/officeDocument/2006/relationships/hyperlink" Target="https://login.consultant.ru/link/?req=doc&amp;base=LAW&amp;n=90936&amp;date=20.07.2026&amp;dst=102232&amp;field=134" TargetMode = "External"/><Relationship Id="rId75" Type="http://schemas.openxmlformats.org/officeDocument/2006/relationships/hyperlink" Target="https://login.consultant.ru/link/?req=doc&amp;base=LAW&amp;n=72830&amp;date=20.07.2026" TargetMode = "External"/><Relationship Id="rId76" Type="http://schemas.openxmlformats.org/officeDocument/2006/relationships/hyperlink" Target="https://login.consultant.ru/link/?req=doc&amp;base=LAW&amp;n=433501&amp;date=20.07.2026&amp;dst=101809&amp;field=134" TargetMode = "External"/><Relationship Id="rId77" Type="http://schemas.openxmlformats.org/officeDocument/2006/relationships/hyperlink" Target="https://login.consultant.ru/link/?req=doc&amp;base=LAW&amp;n=72830&amp;date=20.07.2026" TargetMode = "External"/><Relationship Id="rId78" Type="http://schemas.openxmlformats.org/officeDocument/2006/relationships/hyperlink" Target="https://login.consultant.ru/link/?req=doc&amp;base=LAW&amp;n=154412&amp;date=20.07.2026&amp;dst=100128&amp;field=134" TargetMode = "External"/><Relationship Id="rId79" Type="http://schemas.openxmlformats.org/officeDocument/2006/relationships/hyperlink" Target="https://login.consultant.ru/link/?req=doc&amp;base=LAW&amp;n=511660&amp;date=20.07.2026&amp;dst=100180&amp;field=134" TargetMode = "External"/><Relationship Id="rId80" Type="http://schemas.openxmlformats.org/officeDocument/2006/relationships/hyperlink" Target="https://login.consultant.ru/link/?req=doc&amp;base=LAW&amp;n=511735&amp;date=20.07.2026" TargetMode = "External"/><Relationship Id="rId81" Type="http://schemas.openxmlformats.org/officeDocument/2006/relationships/hyperlink" Target="https://login.consultant.ru/link/?req=doc&amp;base=LAW&amp;n=511703&amp;date=20.07.2026" TargetMode = "External"/><Relationship Id="rId82" Type="http://schemas.openxmlformats.org/officeDocument/2006/relationships/hyperlink" Target="https://login.consultant.ru/link/?req=doc&amp;base=LAW&amp;n=476373&amp;date=20.07.2026&amp;dst=100048&amp;field=134" TargetMode = "External"/><Relationship Id="rId83" Type="http://schemas.openxmlformats.org/officeDocument/2006/relationships/hyperlink" Target="https://login.consultant.ru/link/?req=doc&amp;base=LAW&amp;n=165529&amp;date=20.07.2026&amp;dst=100013&amp;field=134" TargetMode = "External"/><Relationship Id="rId84" Type="http://schemas.openxmlformats.org/officeDocument/2006/relationships/hyperlink" Target="https://login.consultant.ru/link/?req=doc&amp;base=LAW&amp;n=147391&amp;date=20.07.2026" TargetMode = "External"/><Relationship Id="rId85" Type="http://schemas.openxmlformats.org/officeDocument/2006/relationships/hyperlink" Target="https://login.consultant.ru/link/?req=doc&amp;base=LAW&amp;n=489965&amp;date=20.07.2026" TargetMode = "External"/><Relationship Id="rId86" Type="http://schemas.openxmlformats.org/officeDocument/2006/relationships/hyperlink" Target="https://login.consultant.ru/link/?req=doc&amp;base=LAW&amp;n=90936&amp;date=20.07.2026&amp;dst=100015&amp;field=134" TargetMode = "External"/><Relationship Id="rId87" Type="http://schemas.openxmlformats.org/officeDocument/2006/relationships/hyperlink" Target="https://login.consultant.ru/link/?req=doc&amp;base=LAW&amp;n=154412&amp;date=20.07.2026&amp;dst=100012&amp;field=134" TargetMode = "External"/><Relationship Id="rId88" Type="http://schemas.openxmlformats.org/officeDocument/2006/relationships/hyperlink" Target="https://login.consultant.ru/link/?req=doc&amp;base=EXP&amp;n=386418&amp;date=20.07.2026" TargetMode = "External"/><Relationship Id="rId89" Type="http://schemas.openxmlformats.org/officeDocument/2006/relationships/hyperlink" Target="https://login.consultant.ru/link/?req=doc&amp;base=EXP&amp;n=500409&amp;date=20.07.2026" TargetMode = "External"/><Relationship Id="rId90" Type="http://schemas.openxmlformats.org/officeDocument/2006/relationships/hyperlink" Target="https://login.consultant.ru/link/?req=doc&amp;base=LAW&amp;n=131643&amp;date=20.07.2026" TargetMode = "External"/><Relationship Id="rId91" Type="http://schemas.openxmlformats.org/officeDocument/2006/relationships/hyperlink" Target="https://login.consultant.ru/link/?req=doc&amp;base=LAW&amp;n=72830&amp;date=20.07.2026"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4025.00.50</Application>
  <Company>КонсультантПлюс Версия 4025.00.50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"МР 2.6.1.0257-21. 2.6.1. Ионизирующее излучение, радиационная безопасность. Проведение радиационно-гигиенической паспортизации. Методические рекомендации"
(утв. Главным государственным санитарным врачом РФ 01.09.2021)
(вместе с "Инструкцией по заполнению радиационно-гигиенических паспортов организаций", "Инструкцией по заполнению радиационно-гигиенического паспорта территории")</dc:title>
  <dcterms:created xsi:type="dcterms:W3CDTF">2026-07-20T09:11:57Z</dcterms:created>
</cp:coreProperties>
</file>