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"МУ 2.6.1.3015-12. 2.6.1. Ионизирующее излучение, радиационная безопасность. Организация и проведение индивидуального дозиметрического контроля. Персонал медицинских организаций. Методические указания"</w:t>
              <w:br/>
              <w:t xml:space="preserve">(утв. Главным государственным санитарным врачом РФ 19.04.2012)</w:t>
              <w:br/>
              <w:t xml:space="preserve">(ред. от 20.05.2015)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ФЕДЕРАЛЬНАЯ СЛУЖБА ПО НАДЗОРУ В СФЕРЕ ЗАЩИТЫ</w:t>
      </w:r>
    </w:p>
    <w:p>
      <w:pPr>
        <w:pStyle w:val="2"/>
        <w:jc w:val="center"/>
      </w:pPr>
      <w:r>
        <w:rPr>
          <w:sz w:val="24"/>
        </w:rPr>
        <w:t xml:space="preserve">ПРАВ ПОТРЕБИТЕЛЕЙ И БЛАГОПОЛУЧИЯ ЧЕЛОВЕКА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ГОСУДАРСТВЕННОЕ САНИТАРНО-ЭПИДЕМИОЛОГИЧЕСКОЕ НОРМИРОВАНИЕ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Утверждаю</w:t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Федеральной службы</w:t>
      </w:r>
    </w:p>
    <w:p>
      <w:pPr>
        <w:pStyle w:val="0"/>
        <w:jc w:val="right"/>
      </w:pPr>
      <w:r>
        <w:rPr>
          <w:sz w:val="24"/>
        </w:rPr>
        <w:t xml:space="preserve">по надзору в сфере защиты</w:t>
      </w:r>
    </w:p>
    <w:p>
      <w:pPr>
        <w:pStyle w:val="0"/>
        <w:jc w:val="right"/>
      </w:pPr>
      <w:r>
        <w:rPr>
          <w:sz w:val="24"/>
        </w:rPr>
        <w:t xml:space="preserve">прав потребителей</w:t>
      </w:r>
    </w:p>
    <w:p>
      <w:pPr>
        <w:pStyle w:val="0"/>
        <w:jc w:val="right"/>
      </w:pPr>
      <w:r>
        <w:rPr>
          <w:sz w:val="24"/>
        </w:rPr>
        <w:t xml:space="preserve">и благополучия человека,</w:t>
      </w:r>
    </w:p>
    <w:p>
      <w:pPr>
        <w:pStyle w:val="0"/>
        <w:jc w:val="right"/>
      </w:pPr>
      <w:r>
        <w:rPr>
          <w:sz w:val="24"/>
        </w:rPr>
        <w:t xml:space="preserve">Главный государственный</w:t>
      </w:r>
    </w:p>
    <w:p>
      <w:pPr>
        <w:pStyle w:val="0"/>
        <w:jc w:val="right"/>
      </w:pPr>
      <w:r>
        <w:rPr>
          <w:sz w:val="24"/>
        </w:rPr>
        <w:t xml:space="preserve">санитарный врач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Г.Г.ОНИЩЕНКО</w:t>
      </w:r>
    </w:p>
    <w:p>
      <w:pPr>
        <w:pStyle w:val="0"/>
        <w:jc w:val="right"/>
      </w:pPr>
      <w:r>
        <w:rPr>
          <w:sz w:val="24"/>
        </w:rPr>
        <w:t xml:space="preserve">19 апреля 2012 г.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Дата введения: с момента утверждения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2.6.1. ИОНИЗИРУЮЩЕЕ ИЗЛУЧЕНИЕ, РАДИАЦИОННАЯ БЕЗОПАСНОСТЬ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ОРГАНИЗАЦИЯ И ПРОВЕДЕНИЕ</w:t>
      </w:r>
    </w:p>
    <w:p>
      <w:pPr>
        <w:pStyle w:val="2"/>
        <w:jc w:val="center"/>
      </w:pPr>
      <w:r>
        <w:rPr>
          <w:sz w:val="24"/>
        </w:rPr>
        <w:t xml:space="preserve">ИНДИВИДУАЛЬНОГО ДОЗИМЕТРИЧЕСКОГО КОНТРОЛЯ. ПЕРСОНАЛ</w:t>
      </w:r>
    </w:p>
    <w:p>
      <w:pPr>
        <w:pStyle w:val="2"/>
        <w:jc w:val="center"/>
      </w:pPr>
      <w:r>
        <w:rPr>
          <w:sz w:val="24"/>
        </w:rPr>
        <w:t xml:space="preserve">МЕДИЦИНСКИХ ОРГАНИЗАЦИЙ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МЕТОДИЧЕСКИЕ УКАЗАНИЯ</w:t>
      </w:r>
    </w:p>
    <w:p>
      <w:pPr>
        <w:pStyle w:val="2"/>
        <w:jc w:val="center"/>
      </w:pPr>
      <w:r>
        <w:rPr>
          <w:sz w:val="24"/>
        </w:rPr>
        <w:t xml:space="preserve">МУ 2.6.1.3015-12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&quot;2.6.1. Гигиена. Радиационная гигиена. Ионизирующее излучение, радиационная безопасность. Организация и проведение индивидуального дозиметрического контроля. Персонал медицинских организаций. Изменение 1 к МУ 2.6.1.3015-12. Методические указания&quot; (утв. Главным государственным санитарным врачом РФ 20.05.2015) {КонсультантПлюс}">
              <w:r>
                <w:rPr>
                  <w:sz w:val="24"/>
                  <w:color w:val="0000ff"/>
                </w:rPr>
                <w:t xml:space="preserve">Изменения N 1</w:t>
              </w:r>
            </w:hyperlink>
            <w:r>
              <w:rPr>
                <w:sz w:val="24"/>
                <w:color w:val="392c69"/>
              </w:rPr>
              <w:t xml:space="preserve">, утв. Главным государственным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санитарным врачом РФ 20.05.2015)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Разработаны Федеральным бюджетным учреждением науки "Санкт-Петербургский научно-исследовательский институт радиационной гигиены им. профессора П.В. Рамзаева" (А.Н. Барковский, В.Ю. Голиков, Г.Н. Кайдановский, С.А. Кальницкий).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Г.Г. Онищенко 19 апреля 2012 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Введены в действие с момента утверждения.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Вводятся взамен </w:t>
      </w:r>
      <w:hyperlink w:history="0" r:id="rId9" w:tooltip="&quot;МУ 2.6.1.2118-06. 2.6.1. Ионизирующее излучение. Радиационная безопасность. Организация и проведение индивидуального дозиметрического контроля. Персонал медицинских учреждений. Методические указания&quot; (утв. Роспотребнадзором 14.08.2006) ------------ Утратил силу или отменен {КонсультантПлюс}">
        <w:r>
          <w:rPr>
            <w:sz w:val="24"/>
            <w:color w:val="0000ff"/>
          </w:rPr>
          <w:t xml:space="preserve">МУ 2.6.1.2118-06</w:t>
        </w:r>
      </w:hyperlink>
      <w:r>
        <w:rPr>
          <w:sz w:val="24"/>
        </w:rPr>
        <w:t xml:space="preserve"> "Организация и проведение индивидуального дозиметрического контроля. Персонал медицинских учреждений".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I. Область применения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Настоящие методические указания (далее - МУ) являются документом, развивающим основные положения </w:t>
      </w:r>
      <w:hyperlink w:history="0" r:id="rId10" w:tooltip="Постановление Главного государственного санитарного врача РФ от 07.07.2009 N 47 &quot;Об утверждении СанПиН 2.6.1.2523-09&quot; (вместе с &quot;НРБ-99/2009. СанПиН 2.6.1.2523-09. Нормы радиационной безопасности. Санитарные правила и нормативы&quot;) (Зарегистрировано в Минюсте РФ 14.08.2009 N 14534) {КонсультантПлюс}">
        <w:r>
          <w:rPr>
            <w:sz w:val="24"/>
            <w:color w:val="0000ff"/>
          </w:rPr>
          <w:t xml:space="preserve">СанПиН 2.6.1.2523-09</w:t>
        </w:r>
      </w:hyperlink>
      <w:r>
        <w:rPr>
          <w:sz w:val="24"/>
        </w:rPr>
        <w:t xml:space="preserve"> "Нормы радиационной безопасности (НРБ-99/2009)" (далее - НРБ-99/2009) и </w:t>
      </w:r>
      <w:hyperlink w:history="0" r:id="rId11" w:tooltip="Постановление Главного государственного санитарного врача РФ от 26.04.2010 N 40 (ред. от 16.09.2013) &quot;Об утверждении СП 2.6.1.2612-10 &quot;Основные санитарные правила обеспечения радиационной безопасности (ОСПОРБ-99/2010)&quot; (вместе с &quot;СП 2.6.1.2612-10. ОСПОРБ-99/2010. Санитарные правила и нормативы...&quot;) (Зарегистрировано в Минюсте России 11.08.2010 N 18115) {КонсультантПлюс}">
        <w:r>
          <w:rPr>
            <w:sz w:val="24"/>
            <w:color w:val="0000ff"/>
          </w:rPr>
          <w:t xml:space="preserve">СП 2.6.1.2612-10</w:t>
        </w:r>
      </w:hyperlink>
      <w:r>
        <w:rPr>
          <w:sz w:val="24"/>
        </w:rPr>
        <w:t xml:space="preserve"> "Основные санитарные правила обеспечения радиационной безопасности (ОСПОРБ-99/2010)" (далее - ОСПОРБ 99/2010) в форме требований к методам контроля внешнего облучения медицинского персонала.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Настоящие МУ предназначены для администрации медицинских организаций, органов Федеральной службы по надзору в сфере защиты прав потребителей и благополучия человека, служб радиационной безопасности (радиационного контроля), организаций, аккредитованных в установленном порядке на право проведения радиационного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Методические указания распространяются на методы определения индивидуальных эффективных и эквивалентных доз внешнего облучения медицинского персонала и организацию соответствующего контроля в медицинских организациях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В целях обеспечения единства методических подходов к дозиметрическому контролю внешнего облучения и реализации Единой государственной системы контроля и учета индивидуальных доз облучения граждан (далее - ЕСКИД) настоящие МУ устанавливают: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номенклатуру дозиметрических величин для контроля внешнего облучения медицинского персонала, работающего с источниками ионизирующего излучения;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требования и принципы организации дозиметрического контроля внешнего облучения медицинского персонала;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процедуру интерпретации результатов измерения, учет и представление их контролирующим и заинтересованным организациям;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общие требования к методам определения дозиметрических величин и средствам измерения.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II. Цели контроля профессионального облучения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Контроль профессионального облучения является одной из основных частей системы обеспечения радиационной безопасности персонала. Целью контроля является достоверное определение доз облучения персонала для установления соответствия условий труда требованиям </w:t>
      </w:r>
      <w:hyperlink w:history="0" r:id="rId12" w:tooltip="Постановление Главного государственного санитарного врача РФ от 07.07.2009 N 47 &quot;Об утверждении СанПиН 2.6.1.2523-09&quot; (вместе с &quot;НРБ-99/2009. СанПиН 2.6.1.2523-09. Нормы радиационной безопасности. Санитарные правила и нормативы&quot;) (Зарегистрировано в Минюсте РФ 14.08.2009 N 14534) {КонсультантПлюс}">
        <w:r>
          <w:rPr>
            <w:sz w:val="24"/>
            <w:color w:val="0000ff"/>
          </w:rPr>
          <w:t xml:space="preserve">НРБ-99/2009</w:t>
        </w:r>
      </w:hyperlink>
      <w:r>
        <w:rPr>
          <w:sz w:val="24"/>
        </w:rPr>
        <w:t xml:space="preserve"> и </w:t>
      </w:r>
      <w:hyperlink w:history="0" r:id="rId13" w:tooltip="Постановление Главного государственного санитарного врача РФ от 26.04.2010 N 40 (ред. от 16.09.2013) &quot;Об утверждении СП 2.6.1.2612-10 &quot;Основные санитарные правила обеспечения радиационной безопасности (ОСПОРБ-99/2010)&quot; (вместе с &quot;СП 2.6.1.2612-10. ОСПОРБ-99/2010. Санитарные правила и нормативы...&quot;) (Зарегистрировано в Минюсте России 11.08.2010 N 18115) {КонсультантПлюс}">
        <w:r>
          <w:rPr>
            <w:sz w:val="24"/>
            <w:color w:val="0000ff"/>
          </w:rPr>
          <w:t xml:space="preserve">ОСПОРБ-99/2010</w:t>
        </w:r>
      </w:hyperlink>
      <w:r>
        <w:rPr>
          <w:sz w:val="24"/>
        </w:rPr>
        <w:t xml:space="preserve"> и подтверждения того, что радиационная безопасность персонала обеспечена должным образом, а техногенный источник излучения находится под контролем.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Контроль профессионального облучения заключается в определении индивидуальных эффективных доз внешнего облучения персонала и/или индивидуальных эквивалентных доз облучения отдельных органов и тканей. Под индивидуальной дозой здесь понимается доза (эффективная или эквивалентная доза в органе или ткани в зависимости от контекста), которая была бы получена стандартным работником, если бы он находился в тех же производственных условиях и выполнял те же работы с источником, что и данный индивид. Значение индивидуальной дозы приписывается индивиду по результатам дозиметрического контроля.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III. Нормируемые величины профессионального облучения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Для обеспечения радиационной безопасности в организации, производственная деятельность которой включает работу с техногенными источниками ионизирующего излучения (далее - ИИИ), персонал организации делится на две группы. Согласно НРБ-99/2010, к персоналу группы А относятся лица, работающие с техногенными ИИИ. Лица, не работающие с техногенными ИИИ, но находящиеся по условиям работы в сфере воздействия этих источников, относятся к персоналу группы Б.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Для обеспечения защиты детей, которые могут родиться у работницы, в НРБ-99/2010 из персонала группы А выделены женщины в возрасте до 45 лет, в отношении профессионального облучения которых установлены дополнительные ограничения (п. 3.1.8 НРБ-99/2010).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 Согласно пп. 3.1.2, 3.1.4, 3.1.6 и 3.1.8 НРБ-99/2010, в случае облучения персонала группы А в нормальных условиях эксплуатации источников излучения нормируются дозиметрические величины, представленные в </w:t>
      </w:r>
      <w:hyperlink w:history="0" w:anchor="P60" w:tooltip="Таблица 3.1">
        <w:r>
          <w:rPr>
            <w:sz w:val="24"/>
            <w:color w:val="0000ff"/>
          </w:rPr>
          <w:t xml:space="preserve">табл. 3.1</w:t>
        </w:r>
      </w:hyperlink>
      <w:r>
        <w:rPr>
          <w:sz w:val="24"/>
        </w:rPr>
        <w:t xml:space="preserve">. Значения пределов доз, как и значения допустимых уровней воздействия для персонала группы Б, равны 1/4 соответствующих значений для персонала группы А.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60" w:name="P60"/>
    <w:bookmarkEnd w:id="60"/>
    <w:p>
      <w:pPr>
        <w:pStyle w:val="0"/>
        <w:outlineLvl w:val="2"/>
        <w:jc w:val="right"/>
      </w:pPr>
      <w:r>
        <w:rPr>
          <w:sz w:val="24"/>
        </w:rPr>
        <w:t xml:space="preserve">Таблица 3.1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Нормируемые величины облучения персонала группы А</w:t>
      </w:r>
    </w:p>
    <w:p>
      <w:pPr>
        <w:pStyle w:val="0"/>
        <w:jc w:val="center"/>
      </w:pPr>
      <w:r>
        <w:rPr>
          <w:sz w:val="24"/>
        </w:rPr>
        <w:t xml:space="preserve">в нормальных условиях эксплуатации источников излучения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735"/>
        <w:gridCol w:w="2475"/>
      </w:tblGrid>
      <w:tr>
        <w:tc>
          <w:tcPr>
            <w:tcW w:w="97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Нормируемая величина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предела, мЗв</w:t>
            </w:r>
          </w:p>
        </w:tc>
      </w:tr>
      <w:tr>
        <w:tc>
          <w:tcPr>
            <w:tcW w:w="9735" w:type="dxa"/>
          </w:tcPr>
          <w:p>
            <w:pPr>
              <w:pStyle w:val="0"/>
            </w:pPr>
            <w:r>
              <w:rPr>
                <w:sz w:val="24"/>
              </w:rPr>
              <w:t xml:space="preserve">Годовая эффективная доза, усредненная за любые последовательные 5 лет (но не более 50 мЗв в год)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9735" w:type="dxa"/>
          </w:tcPr>
          <w:p>
            <w:pPr>
              <w:pStyle w:val="0"/>
            </w:pPr>
            <w:r>
              <w:rPr>
                <w:sz w:val="24"/>
              </w:rPr>
              <w:t xml:space="preserve">Эффективная доза, накопленная за период трудовой деятельности (50 лет)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1 000</w:t>
            </w:r>
          </w:p>
        </w:tc>
      </w:tr>
      <w:tr>
        <w:tc>
          <w:tcPr>
            <w:tcW w:w="9735" w:type="dxa"/>
          </w:tcPr>
          <w:p>
            <w:pPr>
              <w:pStyle w:val="0"/>
            </w:pPr>
            <w:r>
              <w:rPr>
                <w:sz w:val="24"/>
              </w:rPr>
              <w:t xml:space="preserve">Годовая эквивалентная доза облучения хрусталика глаза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</w:tr>
      <w:tr>
        <w:tc>
          <w:tcPr>
            <w:tcW w:w="9735" w:type="dxa"/>
          </w:tcPr>
          <w:p>
            <w:pPr>
              <w:pStyle w:val="0"/>
            </w:pPr>
            <w:r>
              <w:rPr>
                <w:sz w:val="24"/>
              </w:rPr>
              <w:t xml:space="preserve">Годовая эквивалентная доза облучения кожи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</w:tr>
      <w:tr>
        <w:tc>
          <w:tcPr>
            <w:tcW w:w="9735" w:type="dxa"/>
          </w:tcPr>
          <w:p>
            <w:pPr>
              <w:pStyle w:val="0"/>
            </w:pPr>
            <w:r>
              <w:rPr>
                <w:sz w:val="24"/>
              </w:rPr>
              <w:t xml:space="preserve">Годовая эквивалентная доза облучения кистей и стоп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</w:tr>
      <w:tr>
        <w:tc>
          <w:tcPr>
            <w:tcW w:w="9735" w:type="dxa"/>
          </w:tcPr>
          <w:p>
            <w:pPr>
              <w:pStyle w:val="0"/>
            </w:pPr>
            <w:r>
              <w:rPr>
                <w:sz w:val="24"/>
              </w:rPr>
              <w:t xml:space="preserve">Месячная эквивалентная доза на поверхности нижней части области живота женщин в возрасте до 45 лет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sectPr>
          <w:headerReference w:type="default" r:id="rId14"/>
          <w:headerReference w:type="first" r:id="rId14"/>
          <w:footerReference w:type="default" r:id="rId15"/>
          <w:footerReference w:type="first" r:id="rId1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Согласно пп. 3.1.2 и 3.1.3 НРБ-99/2010 указанные в </w:t>
      </w:r>
      <w:hyperlink w:history="0" w:anchor="P60" w:tooltip="Таблица 3.1">
        <w:r>
          <w:rPr>
            <w:sz w:val="24"/>
            <w:color w:val="0000ff"/>
          </w:rPr>
          <w:t xml:space="preserve">табл. 3.1</w:t>
        </w:r>
      </w:hyperlink>
      <w:r>
        <w:rPr>
          <w:sz w:val="24"/>
        </w:rPr>
        <w:t xml:space="preserve"> нормируемые величины характеризуют воздействие техногенных источников на работника вследствие его производственной деятельности в контролируемых условиях обращения с источниками излучения и не включают в себя дозы: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медицинского облучения;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аварийного облучения.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IV. Содержание контроля профессионального облучения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Контроль индивидуальных доз профессионального облучения проводится на соответствие их нормируемым величинам, указанным в </w:t>
      </w:r>
      <w:hyperlink w:history="0" w:anchor="P60" w:tooltip="Таблица 3.1">
        <w:r>
          <w:rPr>
            <w:sz w:val="24"/>
            <w:color w:val="0000ff"/>
          </w:rPr>
          <w:t xml:space="preserve">табл. 3.1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При контроле профессионального облучения применяют: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для персонала группы А - индивидуальный дозиметрический контроль (далее - ИДК), заключающийся в определении индивидуальных доз облучения работника на основании результатов измерений облучения тела или отдельных органов каждого работника с помощью индивидуальных дозиметров, носимых на поверхности тела в течение периода контроля;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для персонала группы Б - как правило, групповой дозиметрический контроль (далее - ГДК), заключающийся в определении индивидуальных доз облучения работников расчетным путем на основании результатов измерений мощностей доз излучения в рабочем помещении (на рабочих местах) с учетом времени пребывания персонала в рабочем помещении (на рабочем месте).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участников специальных рентгенологических исследований (хирург, анестезиолог и др.), которые не относятся к персоналу группы А и по условиям работы находятся в резко неоднородном поле излучения, в качестве метода определения индивидуальных доз необходимо применять ИДК.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V. Операционные величины дозиметрического контроля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</w:t>
      </w:r>
      <w:hyperlink w:history="0" r:id="rId16" w:tooltip="Постановление Главного государственного санитарного врача РФ от 07.07.2009 N 47 &quot;Об утверждении СанПиН 2.6.1.2523-09&quot; (вместе с &quot;НРБ-99/2009. СанПиН 2.6.1.2523-09. Нормы радиационной безопасности. Санитарные правила и нормативы&quot;) (Зарегистрировано в Минюсте РФ 14.08.2009 N 14534) {КонсультантПлюс}">
        <w:r>
          <w:rPr>
            <w:sz w:val="24"/>
            <w:color w:val="0000ff"/>
          </w:rPr>
          <w:t xml:space="preserve">НРБ-99/2009</w:t>
        </w:r>
      </w:hyperlink>
      <w:r>
        <w:rPr>
          <w:sz w:val="24"/>
        </w:rPr>
        <w:t xml:space="preserve"> и </w:t>
      </w:r>
      <w:hyperlink w:history="0" r:id="rId17" w:tooltip="Постановление Главного государственного санитарного врача РФ от 26.04.2010 N 40 (ред. от 16.09.2013) &quot;Об утверждении СП 2.6.1.2612-10 &quot;Основные санитарные правила обеспечения радиационной безопасности (ОСПОРБ-99/2010)&quot; (вместе с &quot;СП 2.6.1.2612-10. ОСПОРБ-99/2010. Санитарные правила и нормативы...&quot;) (Зарегистрировано в Минюсте России 11.08.2010 N 18115) {КонсультантПлюс}">
        <w:r>
          <w:rPr>
            <w:sz w:val="24"/>
            <w:color w:val="0000ff"/>
          </w:rPr>
          <w:t xml:space="preserve">ОСПОРБ-99/2010</w:t>
        </w:r>
      </w:hyperlink>
      <w:r>
        <w:rPr>
          <w:sz w:val="24"/>
        </w:rPr>
        <w:t xml:space="preserve"> предписывают выражать дозы облучения персонала в единицах нормируемых величин, являющихся мерой ущерба от воздействия излучения на человека (эффективная доза, эквивалентная доза облучения органа или ткани). Эти величины не являются непосредственно измеримыми. В настоящих МУ для соблюдения указанных требований </w:t>
      </w:r>
      <w:hyperlink w:history="0" r:id="rId18" w:tooltip="Постановление Главного государственного санитарного врача РФ от 07.07.2009 N 47 &quot;Об утверждении СанПиН 2.6.1.2523-09&quot; (вместе с &quot;НРБ-99/2009. СанПиН 2.6.1.2523-09. Нормы радиационной безопасности. Санитарные правила и нормативы&quot;) (Зарегистрировано в Минюсте РФ 14.08.2009 N 14534) {КонсультантПлюс}">
        <w:r>
          <w:rPr>
            <w:sz w:val="24"/>
            <w:color w:val="0000ff"/>
          </w:rPr>
          <w:t xml:space="preserve">НРБ-99/2009</w:t>
        </w:r>
      </w:hyperlink>
      <w:r>
        <w:rPr>
          <w:sz w:val="24"/>
        </w:rPr>
        <w:t xml:space="preserve"> и </w:t>
      </w:r>
      <w:hyperlink w:history="0" r:id="rId19" w:tooltip="Постановление Главного государственного санитарного врача РФ от 26.04.2010 N 40 (ред. от 16.09.2013) &quot;Об утверждении СП 2.6.1.2612-10 &quot;Основные санитарные правила обеспечения радиационной безопасности (ОСПОРБ-99/2010)&quot; (вместе с &quot;СП 2.6.1.2612-10. ОСПОРБ-99/2010. Санитарные правила и нормативы...&quot;) (Зарегистрировано в Минюсте России 11.08.2010 N 18115) {КонсультантПлюс}">
        <w:r>
          <w:rPr>
            <w:sz w:val="24"/>
            <w:color w:val="0000ff"/>
          </w:rPr>
          <w:t xml:space="preserve">ОСПОРБ-99/2010</w:t>
        </w:r>
      </w:hyperlink>
      <w:r>
        <w:rPr>
          <w:sz w:val="24"/>
        </w:rPr>
        <w:t xml:space="preserve"> используются операционные величины, однозначно определяемые через физические характеристики поля излучения. Результаты измерений операционных величин принимаются в качестве разумно консервативной оценки соответствующих нормируемых величин.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 Операционной величиной для контроля радиационной обстановки в рабочих помещениях и на рабочих местах в целях ГДК является мощность амбиентного эквивалента дозы, </w:t>
      </w:r>
      <w:r>
        <w:rPr>
          <w:position w:val="-10"/>
        </w:rPr>
        <w:drawing>
          <wp:inline distT="0" distB="0" distL="0" distR="0">
            <wp:extent cx="496570" cy="2800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. Рекомендуемая единица мощности амбиентного эквивалента дозы - мкЗв/ч. Значение параметра d (мм), определяющего требования к приборам дозиметрического контроля, зависит от того, какую нормируемую величину определяют при проведении дозиметрического контроля. Соответствие между нормируемыми и операционными величинами, используемыми при проведении ГДК, представлено в табл. 5.1.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97" w:name="P97"/>
    <w:bookmarkEnd w:id="97"/>
    <w:p>
      <w:pPr>
        <w:pStyle w:val="0"/>
        <w:outlineLvl w:val="2"/>
        <w:jc w:val="right"/>
      </w:pPr>
      <w:r>
        <w:rPr>
          <w:sz w:val="24"/>
        </w:rPr>
        <w:t xml:space="preserve">Таблица 5.1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Соответствие между нормируемыми и операционными величинами</w:t>
      </w:r>
    </w:p>
    <w:p>
      <w:pPr>
        <w:pStyle w:val="0"/>
        <w:jc w:val="center"/>
      </w:pPr>
      <w:r>
        <w:rPr>
          <w:sz w:val="24"/>
        </w:rPr>
        <w:t xml:space="preserve">при проведении ГДК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3"/>
        <w:jc w:val="both"/>
      </w:pPr>
      <w:r>
        <w:rPr>
          <w:sz w:val="20"/>
        </w:rPr>
        <w:t xml:space="preserve">┌─────────────────────────────────────┬───────────────────────────────────┐</w:t>
      </w:r>
    </w:p>
    <w:p>
      <w:pPr>
        <w:pStyle w:val="3"/>
        <w:jc w:val="both"/>
      </w:pPr>
      <w:r>
        <w:rPr>
          <w:sz w:val="20"/>
        </w:rPr>
        <w:t xml:space="preserve">│        Нормируемая величина         │  Операционная величина: мощность  │</w:t>
      </w:r>
    </w:p>
    <w:p>
      <w:pPr>
        <w:pStyle w:val="3"/>
        <w:jc w:val="both"/>
      </w:pPr>
      <w:r>
        <w:rPr>
          <w:sz w:val="20"/>
        </w:rPr>
        <w:t xml:space="preserve">│                                     │   амбиентного эквивалента дозы    │</w:t>
      </w:r>
    </w:p>
    <w:p>
      <w:pPr>
        <w:pStyle w:val="3"/>
        <w:jc w:val="both"/>
      </w:pPr>
      <w:r>
        <w:rPr>
          <w:sz w:val="20"/>
        </w:rPr>
        <w:t xml:space="preserve">│                                     ├───────────┬───────────────────────┤</w:t>
      </w:r>
    </w:p>
    <w:p>
      <w:pPr>
        <w:pStyle w:val="3"/>
        <w:jc w:val="both"/>
      </w:pPr>
      <w:r>
        <w:rPr>
          <w:sz w:val="20"/>
        </w:rPr>
        <w:t xml:space="preserve">│                                     │   d, мм   │ условное обозначение  │</w:t>
      </w:r>
    </w:p>
    <w:p>
      <w:pPr>
        <w:pStyle w:val="3"/>
        <w:jc w:val="both"/>
      </w:pPr>
      <w:r>
        <w:rPr>
          <w:sz w:val="20"/>
        </w:rPr>
        <w:t xml:space="preserve">├─────────────────────────────────────┼───────────┼───────────────────────┤</w:t>
      </w:r>
    </w:p>
    <w:p>
      <w:pPr>
        <w:pStyle w:val="3"/>
        <w:jc w:val="both"/>
      </w:pPr>
      <w:r>
        <w:rPr>
          <w:sz w:val="20"/>
        </w:rPr>
        <w:t xml:space="preserve">│Мощность эквивалентной дозы внешнего │           │         .*            │</w:t>
      </w:r>
    </w:p>
    <w:p>
      <w:pPr>
        <w:pStyle w:val="3"/>
        <w:jc w:val="both"/>
      </w:pPr>
      <w:r>
        <w:rPr>
          <w:sz w:val="20"/>
        </w:rPr>
        <w:t xml:space="preserve">│облучения кожи                       │   0,07    │         H  (0,07)     │</w:t>
      </w:r>
    </w:p>
    <w:p>
      <w:pPr>
        <w:pStyle w:val="3"/>
        <w:jc w:val="both"/>
      </w:pPr>
      <w:r>
        <w:rPr>
          <w:sz w:val="20"/>
        </w:rPr>
        <w:t xml:space="preserve">├─────────────────────────────────────┼───────────┼───────────────────────┤</w:t>
      </w:r>
    </w:p>
    <w:p>
      <w:pPr>
        <w:pStyle w:val="3"/>
        <w:jc w:val="both"/>
      </w:pPr>
      <w:r>
        <w:rPr>
          <w:sz w:val="20"/>
        </w:rPr>
        <w:t xml:space="preserve">│Мощность эквивалентной дозы внешнего │           │          .*           │</w:t>
      </w:r>
    </w:p>
    <w:p>
      <w:pPr>
        <w:pStyle w:val="3"/>
        <w:jc w:val="both"/>
      </w:pPr>
      <w:r>
        <w:rPr>
          <w:sz w:val="20"/>
        </w:rPr>
        <w:t xml:space="preserve">│облучения хрусталика глаза           │     3     │          H  (3)       │</w:t>
      </w:r>
    </w:p>
    <w:p>
      <w:pPr>
        <w:pStyle w:val="3"/>
        <w:jc w:val="both"/>
      </w:pPr>
      <w:r>
        <w:rPr>
          <w:sz w:val="20"/>
        </w:rPr>
        <w:t xml:space="preserve">├─────────────────────────────────────┼───────────┼───────────────────────┤</w:t>
      </w:r>
    </w:p>
    <w:p>
      <w:pPr>
        <w:pStyle w:val="3"/>
        <w:jc w:val="both"/>
      </w:pPr>
      <w:r>
        <w:rPr>
          <w:sz w:val="20"/>
        </w:rPr>
        <w:t xml:space="preserve">│Мощность эквивалентной дозы внешнего │           │                       │</w:t>
      </w:r>
    </w:p>
    <w:p>
      <w:pPr>
        <w:pStyle w:val="3"/>
        <w:jc w:val="both"/>
      </w:pPr>
      <w:r>
        <w:rPr>
          <w:sz w:val="20"/>
        </w:rPr>
        <w:t xml:space="preserve">│облучения на поверхности нижней      │           │          .*           │</w:t>
      </w:r>
    </w:p>
    <w:p>
      <w:pPr>
        <w:pStyle w:val="3"/>
        <w:jc w:val="both"/>
      </w:pPr>
      <w:r>
        <w:rPr>
          <w:sz w:val="20"/>
        </w:rPr>
        <w:t xml:space="preserve">│части области живота женщин          │    10     │          H  (10)      │</w:t>
      </w:r>
    </w:p>
    <w:p>
      <w:pPr>
        <w:pStyle w:val="3"/>
        <w:jc w:val="both"/>
      </w:pPr>
      <w:r>
        <w:rPr>
          <w:sz w:val="20"/>
        </w:rPr>
        <w:t xml:space="preserve">├─────────────────────────────────────┼───────────┼───────────────────────┤</w:t>
      </w:r>
    </w:p>
    <w:p>
      <w:pPr>
        <w:pStyle w:val="3"/>
        <w:jc w:val="both"/>
      </w:pPr>
      <w:r>
        <w:rPr>
          <w:sz w:val="20"/>
        </w:rPr>
        <w:t xml:space="preserve">│Мощность эффективной дозы внешнего   │           │          .*           │</w:t>
      </w:r>
    </w:p>
    <w:p>
      <w:pPr>
        <w:pStyle w:val="3"/>
        <w:jc w:val="both"/>
      </w:pPr>
      <w:r>
        <w:rPr>
          <w:sz w:val="20"/>
        </w:rPr>
        <w:t xml:space="preserve">│облучения                            │    10     │          H  (10)      │</w:t>
      </w:r>
    </w:p>
    <w:p>
      <w:pPr>
        <w:pStyle w:val="3"/>
        <w:jc w:val="both"/>
      </w:pPr>
      <w:r>
        <w:rPr>
          <w:sz w:val="20"/>
        </w:rPr>
        <w:t xml:space="preserve">└─────────────────────────────────────┴───────────┴───────────────────────┘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5.3. Операционной величиной для ИДК внешнего излучения является индивидуальный эквивалент дозы, </w:t>
      </w:r>
      <w:r>
        <w:rPr>
          <w:position w:val="-10"/>
        </w:rPr>
        <w:drawing>
          <wp:inline distT="0" distB="0" distL="0" distR="0">
            <wp:extent cx="508000" cy="2800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. Рекомендуемая единица индивидуального эквивалента дозы - мЗв. Значение параметра d, мм, определяющего требования к индивидуальному дозиметру внешнего излучения, а также положение дозиметра на теле работника определяются тем, для определения какой нормируемой величины используется ее эквивалент. Соответствие между нормируемыми и операционными величинами, используемыми в ИДК, представлено в табл. 5.2.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24" w:name="P124"/>
    <w:bookmarkEnd w:id="124"/>
    <w:p>
      <w:pPr>
        <w:pStyle w:val="0"/>
        <w:outlineLvl w:val="2"/>
        <w:jc w:val="right"/>
      </w:pPr>
      <w:r>
        <w:rPr>
          <w:sz w:val="24"/>
        </w:rPr>
        <w:t xml:space="preserve">Таблица 5.2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Соответствие между нормируемыми и операционными величинами</w:t>
      </w:r>
    </w:p>
    <w:p>
      <w:pPr>
        <w:pStyle w:val="0"/>
        <w:jc w:val="center"/>
      </w:pPr>
      <w:r>
        <w:rPr>
          <w:sz w:val="24"/>
        </w:rPr>
        <w:t xml:space="preserve">при индивидуальном дозиметрическом контроле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3"/>
        <w:jc w:val="both"/>
      </w:pPr>
      <w:r>
        <w:rPr>
          <w:sz w:val="20"/>
        </w:rPr>
        <w:t xml:space="preserve">┌─────────────────────┬───────────────────────────────────────────────────┐</w:t>
      </w:r>
    </w:p>
    <w:p>
      <w:pPr>
        <w:pStyle w:val="3"/>
        <w:jc w:val="both"/>
      </w:pPr>
      <w:r>
        <w:rPr>
          <w:sz w:val="20"/>
        </w:rPr>
        <w:t xml:space="preserve">│Нормируемая величина │              Операционная величина:               │</w:t>
      </w:r>
    </w:p>
    <w:p>
      <w:pPr>
        <w:pStyle w:val="3"/>
        <w:jc w:val="both"/>
      </w:pPr>
      <w:r>
        <w:rPr>
          <w:sz w:val="20"/>
        </w:rPr>
        <w:t xml:space="preserve">│                     │       индивидуальный эквивалент дозы - H (d)      │</w:t>
      </w:r>
    </w:p>
    <w:p>
      <w:pPr>
        <w:pStyle w:val="3"/>
        <w:jc w:val="both"/>
      </w:pPr>
      <w:r>
        <w:rPr>
          <w:sz w:val="20"/>
        </w:rPr>
        <w:t xml:space="preserve">│                     │                                         p         │</w:t>
      </w:r>
    </w:p>
    <w:p>
      <w:pPr>
        <w:pStyle w:val="3"/>
        <w:jc w:val="both"/>
      </w:pPr>
      <w:r>
        <w:rPr>
          <w:sz w:val="20"/>
        </w:rPr>
        <w:t xml:space="preserve">│                     ├────────────────────────────────┬─────┬────────────┤</w:t>
      </w:r>
    </w:p>
    <w:p>
      <w:pPr>
        <w:pStyle w:val="3"/>
        <w:jc w:val="both"/>
      </w:pPr>
      <w:r>
        <w:rPr>
          <w:sz w:val="20"/>
        </w:rPr>
        <w:t xml:space="preserve">│                     │   положение индивидуального    │ d,  │  условное  │</w:t>
      </w:r>
    </w:p>
    <w:p>
      <w:pPr>
        <w:pStyle w:val="3"/>
        <w:jc w:val="both"/>
      </w:pPr>
      <w:r>
        <w:rPr>
          <w:sz w:val="20"/>
        </w:rPr>
        <w:t xml:space="preserve">│                     │           дозиметра            │ мм  │обозначение │</w:t>
      </w:r>
    </w:p>
    <w:p>
      <w:pPr>
        <w:pStyle w:val="3"/>
        <w:jc w:val="both"/>
      </w:pPr>
      <w:r>
        <w:rPr>
          <w:sz w:val="20"/>
        </w:rPr>
        <w:t xml:space="preserve">├─────────────────────┼────────────────────────────────┼─────┼────────────┤</w:t>
      </w:r>
    </w:p>
    <w:p>
      <w:pPr>
        <w:pStyle w:val="3"/>
        <w:jc w:val="both"/>
      </w:pPr>
      <w:r>
        <w:rPr>
          <w:sz w:val="20"/>
        </w:rPr>
        <w:t xml:space="preserve">│Эквивалентная доза   │ Непосредственно на поверхности │0,07 │  H (0,07)  │</w:t>
      </w:r>
    </w:p>
    <w:p>
      <w:pPr>
        <w:pStyle w:val="3"/>
        <w:jc w:val="both"/>
      </w:pPr>
      <w:r>
        <w:rPr>
          <w:sz w:val="20"/>
        </w:rPr>
        <w:t xml:space="preserve">│внешнего облучения   │  наиболее облучаемого участка  │     │   p        │</w:t>
      </w:r>
    </w:p>
    <w:p>
      <w:pPr>
        <w:pStyle w:val="3"/>
        <w:jc w:val="both"/>
      </w:pPr>
      <w:r>
        <w:rPr>
          <w:sz w:val="20"/>
        </w:rPr>
        <w:t xml:space="preserve">│кожи                 │             кожи               │     │            │</w:t>
      </w:r>
    </w:p>
    <w:p>
      <w:pPr>
        <w:pStyle w:val="3"/>
        <w:jc w:val="both"/>
      </w:pPr>
      <w:r>
        <w:rPr>
          <w:sz w:val="20"/>
        </w:rPr>
        <w:t xml:space="preserve">├─────────────────────┼────────────────────────────────┼─────┼────────────┤</w:t>
      </w:r>
    </w:p>
    <w:p>
      <w:pPr>
        <w:pStyle w:val="3"/>
        <w:jc w:val="both"/>
      </w:pPr>
      <w:r>
        <w:rPr>
          <w:sz w:val="20"/>
        </w:rPr>
        <w:t xml:space="preserve">│Эквивалентная доза   │     На лицевой части головы    │  3  │   H (3)    │</w:t>
      </w:r>
    </w:p>
    <w:p>
      <w:pPr>
        <w:pStyle w:val="3"/>
        <w:jc w:val="both"/>
      </w:pPr>
      <w:r>
        <w:rPr>
          <w:sz w:val="20"/>
        </w:rPr>
        <w:t xml:space="preserve">│внешнего облучения   │                                │     │    p       │</w:t>
      </w:r>
    </w:p>
    <w:p>
      <w:pPr>
        <w:pStyle w:val="3"/>
        <w:jc w:val="both"/>
      </w:pPr>
      <w:r>
        <w:rPr>
          <w:sz w:val="20"/>
        </w:rPr>
        <w:t xml:space="preserve">│хрусталика глаза     │                                │     │            │</w:t>
      </w:r>
    </w:p>
    <w:p>
      <w:pPr>
        <w:pStyle w:val="3"/>
        <w:jc w:val="both"/>
      </w:pPr>
      <w:r>
        <w:rPr>
          <w:sz w:val="20"/>
        </w:rPr>
        <w:t xml:space="preserve">├─────────────────────┼────────────────────────────────┼─────┼────────────┤</w:t>
      </w:r>
    </w:p>
    <w:p>
      <w:pPr>
        <w:pStyle w:val="3"/>
        <w:jc w:val="both"/>
      </w:pPr>
      <w:r>
        <w:rPr>
          <w:sz w:val="20"/>
        </w:rPr>
        <w:t xml:space="preserve">│Эквивалентная доза на│     На поверхности тела, в     │ 10  │   H (10)   │</w:t>
      </w:r>
    </w:p>
    <w:p>
      <w:pPr>
        <w:pStyle w:val="3"/>
        <w:jc w:val="both"/>
      </w:pPr>
      <w:r>
        <w:rPr>
          <w:sz w:val="20"/>
        </w:rPr>
        <w:t xml:space="preserve">│поверхности нижней   │     соответствующем месте      │     │    p       │</w:t>
      </w:r>
    </w:p>
    <w:p>
      <w:pPr>
        <w:pStyle w:val="3"/>
        <w:jc w:val="both"/>
      </w:pPr>
      <w:r>
        <w:rPr>
          <w:sz w:val="20"/>
        </w:rPr>
        <w:t xml:space="preserve">│части области живота │                                │     │            │</w:t>
      </w:r>
    </w:p>
    <w:p>
      <w:pPr>
        <w:pStyle w:val="3"/>
        <w:jc w:val="both"/>
      </w:pPr>
      <w:r>
        <w:rPr>
          <w:sz w:val="20"/>
        </w:rPr>
        <w:t xml:space="preserve">│женщины              │                                │     │            │</w:t>
      </w:r>
    </w:p>
    <w:p>
      <w:pPr>
        <w:pStyle w:val="3"/>
        <w:jc w:val="both"/>
      </w:pPr>
      <w:r>
        <w:rPr>
          <w:sz w:val="20"/>
        </w:rPr>
        <w:t xml:space="preserve">├─────────────────────┼────────────────────────────────┼─────┼────────────┤</w:t>
      </w:r>
    </w:p>
    <w:p>
      <w:pPr>
        <w:pStyle w:val="3"/>
        <w:jc w:val="both"/>
      </w:pPr>
      <w:r>
        <w:rPr>
          <w:sz w:val="20"/>
        </w:rPr>
        <w:t xml:space="preserve">│Эффективная доза     │     На поверхности тела в      │ 10  │   H (10)   │</w:t>
      </w:r>
    </w:p>
    <w:p>
      <w:pPr>
        <w:pStyle w:val="3"/>
        <w:jc w:val="both"/>
      </w:pPr>
      <w:r>
        <w:rPr>
          <w:sz w:val="20"/>
        </w:rPr>
        <w:t xml:space="preserve">│внешнего облучения   │      оптимальных местах,       │     │    p       │</w:t>
      </w:r>
    </w:p>
    <w:p>
      <w:pPr>
        <w:pStyle w:val="3"/>
        <w:jc w:val="both"/>
      </w:pPr>
      <w:r>
        <w:rPr>
          <w:sz w:val="20"/>
        </w:rPr>
        <w:t xml:space="preserve">│                     │ определяемых в зависимости от  │     │            │</w:t>
      </w:r>
    </w:p>
    <w:p>
      <w:pPr>
        <w:pStyle w:val="3"/>
        <w:jc w:val="both"/>
      </w:pPr>
      <w:r>
        <w:rPr>
          <w:sz w:val="20"/>
        </w:rPr>
        <w:t xml:space="preserve">│                     │      геометрии облучения       │     │            │</w:t>
      </w:r>
    </w:p>
    <w:p>
      <w:pPr>
        <w:pStyle w:val="3"/>
        <w:jc w:val="both"/>
      </w:pPr>
      <w:r>
        <w:rPr>
          <w:sz w:val="20"/>
        </w:rPr>
        <w:t xml:space="preserve">└─────────────────────┴────────────────────────────────┴─────┴────────────┘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5.4. Измерение (определение) операционных величин регламентируется в отдельных методиках выполнения измерений (далее - МВИ).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58" w:name="P158"/>
    <w:bookmarkEnd w:id="158"/>
    <w:p>
      <w:pPr>
        <w:pStyle w:val="0"/>
        <w:outlineLvl w:val="1"/>
        <w:jc w:val="center"/>
      </w:pPr>
      <w:r>
        <w:rPr>
          <w:sz w:val="24"/>
        </w:rPr>
        <w:t xml:space="preserve">VI. Определение индивидуальных доз внешнего</w:t>
      </w:r>
    </w:p>
    <w:p>
      <w:pPr>
        <w:pStyle w:val="0"/>
        <w:jc w:val="center"/>
      </w:pPr>
      <w:r>
        <w:rPr>
          <w:sz w:val="24"/>
        </w:rPr>
        <w:t xml:space="preserve">профессионального облучения медицинского персонала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6.1. Определение индивидуальных годовых эффективных доз является задачей интерпретации результатов измерений, выполняемых при проведении ГДК или ИДК в течение периода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целей контроля профессионального облучения период контроля определяется как промежуток времени: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между последовательными измерениями характеристик радиационной обстановки в рабочем помещении (на рабочих местах) при проведении ГДК; либо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между последовательными измерениями индивидуальных доз облучения работника при проведении ИДК.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Рекомендуется следующая периодичность контроля: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измерение мощностей доз на рабочих местах проводить 1 раз в год;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индивидуальный дозиметрический контроль персонала - ежеквартально;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индивидуальный дозиметрический контроль женщин в возрасте до 45 лет - ежеквартально, а в случае выявления беременности и принятия женщиной решения о сохранении беременности, женщина переводится на работу, не связанную с ИИИ, контроль прерывается, а дозиметры направляются на измерение.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Индивидуальная годовая эффективная доза E облучения работника, а также индивидуальная годовая эквивалентная доза облучения органа или ткани работника </w:t>
      </w:r>
      <w:r>
        <w:rPr>
          <w:position w:val="-10"/>
        </w:rPr>
        <w:drawing>
          <wp:inline distT="0" distB="0" distL="0" distR="0">
            <wp:extent cx="280035" cy="2800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равны суммам соответствующих индивидуальных доз, приписанных работнику по результатам дозиметрического контроля за периоды контроля, проводившегося в течение календарного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ГДК внешнего облучения заключается в определении значений годовой эффективной дозы внешнего облучения путем измерений операционных величин с помощью дозиметров внешнего излучения. В заранее установленном перечне рабочих мест персонала (</w:t>
      </w:r>
      <w:hyperlink w:history="0" r:id="rId23" w:tooltip="Постановление Главного государственного санитарного врача РФ от 18.02.2003 N 8 &quot;О введении в действие СанПиН 2.6.1.1192-03&quot; (вместе с &quot;СанПиН 2.6.1.1192-03. 2.6.1. Ионизирующее излучение, радиационная безопасность. Гигиенические требования к устройству и эксплуатации рентгеновских кабинетов, аппаратов и проведению рентгенологических исследований. Санитарные правила и нормативы&quot;, утв. Главным государственным санитарным врачом РФ 14.02.2003) (Зарегистрировано в Минюсте РФ 19.03.2003 N 4282) ------------ Утратил силу или отменен {КонсультантПлюс}">
        <w:r>
          <w:rPr>
            <w:sz w:val="24"/>
            <w:color w:val="0000ff"/>
          </w:rPr>
          <w:t xml:space="preserve">прилож. 11</w:t>
        </w:r>
      </w:hyperlink>
      <w:r>
        <w:rPr>
          <w:sz w:val="24"/>
        </w:rPr>
        <w:t xml:space="preserve"> СанПиН 2.6.1.1192-03) контролируется такая операционная величина, как мощность амбиентного эквивалента дозы </w:t>
      </w:r>
      <w:r>
        <w:rPr>
          <w:position w:val="-10"/>
        </w:rPr>
        <w:drawing>
          <wp:inline distT="0" distB="0" distL="0" distR="0">
            <wp:extent cx="579120" cy="2800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Измерения мощности амбиентного эквивалента дозы </w:t>
      </w:r>
      <w:r>
        <w:rPr>
          <w:position w:val="-10"/>
        </w:rPr>
        <w:drawing>
          <wp:inline distT="0" distB="0" distL="0" distR="0">
            <wp:extent cx="579120" cy="2800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(далее - </w:t>
      </w:r>
      <w:r>
        <w:rPr>
          <w:position w:val="-6"/>
        </w:rPr>
        <w:drawing>
          <wp:inline distT="0" distB="0" distL="0" distR="0">
            <wp:extent cx="280035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) на рабочих местах персонала группы Б должны проводиться при стандартных значениях анодного напряжения (табл. 6.1 </w:t>
      </w:r>
      <w:hyperlink w:history="0" r:id="rId26" w:tooltip="Постановление Главного государственного санитарного врача РФ от 18.02.2003 N 8 &quot;О введении в действие СанПиН 2.6.1.1192-03&quot; (вместе с &quot;СанПиН 2.6.1.1192-03. 2.6.1. Ионизирующее излучение, радиационная безопасность. Гигиенические требования к устройству и эксплуатации рентгеновских кабинетов, аппаратов и проведению рентгенологических исследований. Санитарные правила и нормативы&quot;, утв. Главным государственным санитарным врачом РФ 14.02.2003) (Зарегистрировано в Минюсте РФ 19.03.2003 N 4282) ------------ Утратил силу или отменен {КонсультантПлюс}">
        <w:r>
          <w:rPr>
            <w:sz w:val="24"/>
            <w:color w:val="0000ff"/>
          </w:rPr>
          <w:t xml:space="preserve">СанПиН 2.6.1.1192-03</w:t>
        </w:r>
      </w:hyperlink>
      <w:r>
        <w:rPr>
          <w:sz w:val="24"/>
        </w:rPr>
        <w:t xml:space="preserve">), значении силы анодного тока не менее 2 мА и наличии дополнительных фильтров - 2 мм Al и 2 мм Cu для рентгенодиагностических и рентгенотерапевтических аппаратов соответственно. Эти измерения проводятся на уровне 1 м от пола (</w:t>
      </w:r>
      <w:hyperlink w:history="0" r:id="rId27" w:tooltip="Постановление Главного государственного санитарного врача РФ от 18.02.2003 N 8 &quot;О введении в действие СанПиН 2.6.1.1192-03&quot; (вместе с &quot;СанПиН 2.6.1.1192-03. 2.6.1. Ионизирующее излучение, радиационная безопасность. Гигиенические требования к устройству и эксплуатации рентгеновских кабинетов, аппаратов и проведению рентгенологических исследований. Санитарные правила и нормативы&quot;, утв. Главным государственным санитарным врачом РФ 14.02.2003) (Зарегистрировано в Минюсте РФ 19.03.2003 N 4282) ------------ Утратил силу или отменен {КонсультантПлюс}">
        <w:r>
          <w:rPr>
            <w:sz w:val="24"/>
            <w:color w:val="0000ff"/>
          </w:rPr>
          <w:t xml:space="preserve">прилож. 11</w:t>
        </w:r>
      </w:hyperlink>
      <w:r>
        <w:rPr>
          <w:sz w:val="24"/>
        </w:rPr>
        <w:t xml:space="preserve"> СанПиН 2.6.1.1192-03).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измерений стандартизованное значение мощности эффективной дозы </w:t>
      </w:r>
      <w:r>
        <w:rPr>
          <w:position w:val="-6"/>
        </w:rPr>
        <w:drawing>
          <wp:inline distT="0" distB="0" distL="0" distR="0">
            <wp:extent cx="351790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оценивают согласно выражению: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12"/>
        </w:rPr>
        <w:drawing>
          <wp:inline distT="0" distB="0" distL="0" distR="0">
            <wp:extent cx="1249680" cy="3111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</w:t>
      </w:r>
      <w:r>
        <w:rPr>
          <w:position w:val="-7"/>
        </w:rPr>
        <w:drawing>
          <wp:inline distT="0" distB="0" distL="0" distR="0">
            <wp:extent cx="715010" cy="2489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где (6.1)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position w:val="-6"/>
        </w:rPr>
        <w:drawing>
          <wp:inline distT="0" distB="0" distL="0" distR="0">
            <wp:extent cx="280035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результат измерения мощности амбиентного эквивалента дозы при включенном рентгеновском аппарате на высоте 1 м, </w:t>
      </w:r>
      <w:r>
        <w:rPr>
          <w:position w:val="-7"/>
        </w:rPr>
        <w:drawing>
          <wp:inline distT="0" distB="0" distL="0" distR="0">
            <wp:extent cx="715010" cy="2489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position w:val="-12"/>
        </w:rPr>
        <w:drawing>
          <wp:inline distT="0" distB="0" distL="0" distR="0">
            <wp:extent cx="289560" cy="3111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результат измерения мощности амбиентного эквивалента дозы при выключенном рентгеновском аппарате на высоте 1 м, </w:t>
      </w:r>
      <w:r>
        <w:rPr>
          <w:position w:val="-7"/>
        </w:rPr>
        <w:drawing>
          <wp:inline distT="0" distB="0" distL="0" distR="0">
            <wp:extent cx="715010" cy="2489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(фоновое значение).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оценки значения эффективной дозы при выполнении реального рентгенологического исследования </w:t>
      </w:r>
      <w:r>
        <w:rPr>
          <w:position w:val="-6"/>
        </w:rPr>
        <w:drawing>
          <wp:inline distT="0" distB="0" distL="0" distR="0">
            <wp:extent cx="434975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необходимо перейти от стандартного режима с параметрами </w:t>
      </w:r>
      <w:r>
        <w:rPr>
          <w:position w:val="-7"/>
        </w:rPr>
        <w:drawing>
          <wp:inline distT="0" distB="0" distL="0" distR="0">
            <wp:extent cx="351790" cy="2489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 </w:t>
      </w:r>
      <w:r>
        <w:rPr>
          <w:position w:val="-6"/>
        </w:rPr>
        <w:drawing>
          <wp:inline distT="0" distB="0" distL="0" distR="0">
            <wp:extent cx="280035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к режиму проведения реального рентгенологического исследования с параметрами </w:t>
      </w:r>
      <w:r>
        <w:rPr>
          <w:position w:val="-7"/>
        </w:rPr>
        <w:drawing>
          <wp:inline distT="0" distB="0" distL="0" distR="0">
            <wp:extent cx="434975" cy="2489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 </w:t>
      </w:r>
      <w:r>
        <w:rPr>
          <w:position w:val="-15"/>
        </w:rPr>
        <w:drawing>
          <wp:inline distT="0" distB="0" distL="0" distR="0">
            <wp:extent cx="836295" cy="3517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. Эта процедура осуществляется с использованием соотношения: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35"/>
        </w:rPr>
        <w:drawing>
          <wp:inline distT="0" distB="0" distL="0" distR="0">
            <wp:extent cx="2499360" cy="6032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мкЗв (6.2)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Параметры реальных режимов рентгенологических исследований (значение напряжения на трубке, значение произведения анодного тока и времени проведения рентгенологического исследования, мА·с) определяют независимым путем (автоматический контроль параметров работы рентгеновского аппарата, фиксирование и запись параметров работы рентгеновского аппарата). С учетом этого, конечный результат расчета эффективной дозы внешнего облучения персонала группы Б за период контроля по данным радиационного контроля на рабочих местах определяется путем умножения значения эффективной дозы при выполнении реального рентгенологического исследования данного типа </w:t>
      </w:r>
      <w:r>
        <w:rPr>
          <w:position w:val="-6"/>
        </w:rPr>
        <w:drawing>
          <wp:inline distT="0" distB="0" distL="0" distR="0">
            <wp:extent cx="434975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на количество рентгенологических исследований этого типа и суммированием полученных значений по всем типам рентгенологических исследований за период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определение реальных параметров рентгенологических исследований за период контроля невозможно, то для оценки значения годовой эффективной дозы облучения персонала группы Б допускается использование значений стандартизированной рабочей нагрузки W рентгеновской аппаратуры (табл. 6.1 </w:t>
      </w:r>
      <w:hyperlink w:history="0" r:id="rId38" w:tooltip="Постановление Главного государственного санитарного врача РФ от 18.02.2003 N 8 &quot;О введении в действие СанПиН 2.6.1.1192-03&quot; (вместе с &quot;СанПиН 2.6.1.1192-03. 2.6.1. Ионизирующее излучение, радиационная безопасность. Гигиенические требования к устройству и эксплуатации рентгеновских кабинетов, аппаратов и проведению рентгенологических исследований. Санитарные правила и нормативы&quot;, утв. Главным государственным санитарным врачом РФ 14.02.2003) (Зарегистрировано в Минюсте РФ 19.03.2003 N 4282) ------------ Утратил силу или отменен {КонсультантПлюс}">
        <w:r>
          <w:rPr>
            <w:sz w:val="24"/>
            <w:color w:val="0000ff"/>
          </w:rPr>
          <w:t xml:space="preserve">СанПиН 2.6.1.1192-03</w:t>
        </w:r>
      </w:hyperlink>
      <w:r>
        <w:rPr>
          <w:sz w:val="24"/>
        </w:rPr>
        <w:t xml:space="preserve">). В этом случае для расчета значения годовой эффективной дозы </w:t>
      </w:r>
      <w:r>
        <w:rPr>
          <w:position w:val="-6"/>
        </w:rPr>
        <w:drawing>
          <wp:inline distT="0" distB="0" distL="0" distR="0">
            <wp:extent cx="434975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используется соотношение: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29"/>
        </w:rPr>
        <w:drawing>
          <wp:inline distT="0" distB="0" distL="0" distR="0">
            <wp:extent cx="2066925" cy="5283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</w:t>
      </w:r>
      <w:r>
        <w:rPr>
          <w:position w:val="-8"/>
        </w:rPr>
        <w:drawing>
          <wp:inline distT="0" distB="0" distL="0" distR="0">
            <wp:extent cx="892175" cy="25908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где (6.3)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position w:val="-6"/>
        </w:rPr>
        <w:drawing>
          <wp:inline distT="0" distB="0" distL="0" distR="0">
            <wp:extent cx="280035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результат измерения мощности амбиентного эквивалента дозы при включенном рентгеновском аппарате на высоте 1 м, </w:t>
      </w:r>
      <w:r>
        <w:rPr>
          <w:position w:val="-7"/>
        </w:rPr>
        <w:drawing>
          <wp:inline distT="0" distB="0" distL="0" distR="0">
            <wp:extent cx="722630" cy="2489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position w:val="-12"/>
        </w:rPr>
        <w:drawing>
          <wp:inline distT="0" distB="0" distL="0" distR="0">
            <wp:extent cx="289560" cy="3111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результат измерения мощности амбиентного эквивалента дозы при выключенном рентгеновском аппарате на высоте 1 м, </w:t>
      </w:r>
      <w:r>
        <w:rPr>
          <w:position w:val="-7"/>
        </w:rPr>
        <w:drawing>
          <wp:inline distT="0" distB="0" distL="0" distR="0">
            <wp:extent cx="722630" cy="24892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(фоновое значение);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W - значение стандартизированной рабочей нагрузки рентгеновского аппарата, </w:t>
      </w:r>
      <w:r>
        <w:rPr>
          <w:position w:val="-27"/>
        </w:rPr>
        <w:drawing>
          <wp:inline distT="0" distB="0" distL="0" distR="0">
            <wp:extent cx="739140" cy="49657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position w:val="-6"/>
        </w:rPr>
        <w:drawing>
          <wp:inline distT="0" distB="0" distL="0" distR="0">
            <wp:extent cx="289560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значение анодного тока, мА, при котором проводились измерения </w:t>
      </w:r>
      <w:r>
        <w:rPr>
          <w:position w:val="-6"/>
        </w:rPr>
        <w:drawing>
          <wp:inline distT="0" distB="0" distL="0" distR="0">
            <wp:extent cx="280035" cy="2374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0,83 - нормировочный коэффициент, численно равный отношению времени работы персонала группы Б в течение года (2 000 ч/год) ко времени работы персонала группы Б в течение недели (2 400 мин/неделю).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ИДК внешнего облучения заключается в определении значений эффективной и/или эквивалентной дозы путем измерений операционных величин с помощью индивидуальных дозиметров. За значения эквивалентных доз внешнего облучения органов и тканей (</w:t>
      </w:r>
      <w:r>
        <w:rPr>
          <w:position w:val="-10"/>
        </w:rPr>
        <w:drawing>
          <wp:inline distT="0" distB="0" distL="0" distR="0">
            <wp:extent cx="280035" cy="2800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) следует принимать значения операционных величин индивидуального дозиметрического контроля, соответствующих требованиям, указанным в </w:t>
      </w:r>
      <w:hyperlink w:history="0" w:anchor="P124" w:tooltip="Таблица 5.2">
        <w:r>
          <w:rPr>
            <w:sz w:val="24"/>
            <w:color w:val="0000ff"/>
          </w:rPr>
          <w:t xml:space="preserve">табл. 5.2</w:t>
        </w:r>
      </w:hyperlink>
      <w:r>
        <w:rPr>
          <w:sz w:val="24"/>
        </w:rPr>
        <w:t xml:space="preserve">. При проведении ИДК внешнего облучения лиц, работающих в полях, создаваемых импульсными ИИИ, предпочтение следует отдавать методу термолюминесцентной дозиметрии.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6.5. В организациях, где проводится ИДК персонала, необходимо также проводить измерения доз, создаваемых природным фоном. Фоновые дозиметры во время экспонирования рабочих дозиметров необходимо хранить на территории учреждения в помещении, удаленном от любых источников излучения. Результаты измерений доз от природного фона должны быть записаны в протокол измерений индивидуальных доз (</w:t>
      </w:r>
      <w:hyperlink w:history="0" w:anchor="P456" w:tooltip="РЕКОМЕНДУЕМАЯ ФОРМА ПРОТОКОЛА">
        <w:r>
          <w:rPr>
            <w:sz w:val="24"/>
            <w:color w:val="0000ff"/>
          </w:rPr>
          <w:t xml:space="preserve">прилож. 2</w:t>
        </w:r>
      </w:hyperlink>
      <w:r>
        <w:rPr>
          <w:sz w:val="24"/>
        </w:rPr>
        <w:t xml:space="preserve">). Вычитание значений доз от природного фона из показаний экспонированных индивидуальных дозиметров не производится. При малых значениях индивидуальных доз вычитание природного фона приводит к ошибкам в сотни процентов, а при дозах свыше 1 мЗв фоновые дозы оказываются меньше, чем погрешность измерений индивидуальной дозы и не оказывают влияния на конечный результат.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6.6. Для медицинского персонала, не находящегося в непосредственной близости к источнику излучения или пучку рентгеновского излучения (комната управления, фотолаборатория, смежные помещения), облучение тела достаточно равномерно и одного индивидуального дозиметра, расположенного на поверхности тела (например, в нагрудном кармане халата), достаточно, чтобы по его показаниям с помощью соответствующего коэффициента перехода оценить значение эффективной дозы. Медицинский персонал, работающий в процедурном помещении, а также медперсонал, проводящий специальные рентгенологические исследования под контролем рентгеновского излучения, по роду своей деятельности должен находиться рядом с пациентом, то есть в непосредственной близости к источнику излучения или пучку рентгеновского излучения. Облучение этой категории персонала резко неравномерно. Согласно данным фантомных и натурных измерений на передней поверхности тела у этих работников имеет место более чем 10-кратный перепад дозы, а градиент дозы в теле значительно больше. Характер распределения поверхностной и глубинной дозы также зависит от дополнительного экранирования тела защитным фартуком. В этом случае для корректной оценки нормируемых величин необходимо использовать два индивидуальных дозиметра на поверхности тела работника.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6.7. Для медицинского персонала рентгеновских кабинетов можно выделить следующие варианты условий труда, характеризующиеся значением высокого напряжения на рентгеновской трубке, геометрией облучения, наличием средств защиты от излучения и положением на теле индивидуального дозиметра(ов), для которых ниже даны соотношения, необходимые для оценки соответствующих нормируемых величин.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6.7.1. Персонал рентгеновских кабинетов, который по условиям труда находится вне процедурного помещения и работает с напряжением на рентгеновской трубке от 40 до 120 кВ без защитного фартука. При этих условиях облучения и расположении одного дозиметра на груди для оценки эффективной дозы рекомендуется использовать соотношение: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10"/>
        </w:rPr>
        <w:drawing>
          <wp:inline distT="0" distB="0" distL="0" distR="0">
            <wp:extent cx="914400" cy="2895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мЗв, где (6.4)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position w:val="-10"/>
        </w:rPr>
        <w:drawing>
          <wp:inline distT="0" distB="0" distL="0" distR="0">
            <wp:extent cx="588645" cy="2895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показания индивидуального дозиметра за период контроля, откалиброванного в единицах индивидуального эквивалента дозы &lt;*&gt;, мЗв.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Если индивидуальный дозиметр откалиброван в единицах индивидуального эквивалента дозы, то это значит, что он калибровался на фантоме, т.е. с учетом вклада обратно рассеянного излучения. Если же дозиметр калибровался в свободном воздухе, то для перехода к значению </w:t>
      </w:r>
      <w:r>
        <w:rPr>
          <w:position w:val="-10"/>
        </w:rPr>
        <w:drawing>
          <wp:inline distT="0" distB="0" distL="0" distR="0">
            <wp:extent cx="588645" cy="2895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необходимо использовать соответствующие коэффициенты </w:t>
      </w:r>
      <w:hyperlink w:history="0" r:id="rId48" w:tooltip="&quot;МУ 2.6.1.25-2000. 2.6.1. Ионизирующее излучение, радиационная безопасность. Дозиметрический контроль внешнего профессионального облучения. Общие требования. Методические указания&quot; (утв. Минатомом России 27.09.2000 и Минздравом России 28.09.2000) ------------ Утратил силу или отменен {КонсультантПлюс}">
        <w:r>
          <w:rPr>
            <w:sz w:val="24"/>
            <w:color w:val="0000ff"/>
          </w:rPr>
          <w:t xml:space="preserve">(МУ 2.6.1.25-2000)</w:t>
        </w:r>
      </w:hyperlink>
      <w:r>
        <w:rPr>
          <w:sz w:val="24"/>
        </w:rPr>
        <w:t xml:space="preserve">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Эквивалентные дозы облучения хрусталиков глаз и кожи не контролируются. В качестве значения эквивалентной дозы на поверхности нижней части области живота женщины в возрасте до 45 лет принимается значение, соответствующее значению эффективной дозы. При этом дозиметр должен располагаться на талии.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6.7.2. Персонал рентгеновских кабинетов, который по условиям труда находится в процедурном помещении и работает с напряжением на рентгеновской трубке от 40 до 120 кВ в защитном фартуке. При этих условиях облучения и использовании двух индивидуальных дозиметров, расположенных над защитным фартуком на воротнике халата или на шапочке, и на груди под защитным фартуком, рекомендуется использовать следующую формулу для оценки эффективной дозы: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10"/>
        </w:rPr>
        <w:drawing>
          <wp:inline distT="0" distB="0" distL="0" distR="0">
            <wp:extent cx="2651760" cy="2895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мЗв, где (6.5)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position w:val="-10"/>
        </w:rPr>
        <w:drawing>
          <wp:inline distT="0" distB="0" distL="0" distR="0">
            <wp:extent cx="618490" cy="2895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доза, зарегистрированная дозиметром, расположенным на груди под защитным фартуком, мЗв;</w:t>
      </w:r>
    </w:p>
    <w:p>
      <w:pPr>
        <w:pStyle w:val="0"/>
        <w:spacing w:before="240" w:lineRule="auto"/>
        <w:ind w:firstLine="540"/>
        <w:jc w:val="both"/>
      </w:pPr>
      <w:r>
        <w:rPr>
          <w:position w:val="-10"/>
        </w:rPr>
        <w:drawing>
          <wp:inline distT="0" distB="0" distL="0" distR="0">
            <wp:extent cx="663575" cy="2895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доза, зарегистрированная дозиметром, расположенным над фартуком на воротнике халата или на шапочке, мЗв.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Показания дополнительного дозиметра, расположенного над фартуком на воротнике халата или на шапочке, и отвечающего требованиям определения </w:t>
      </w:r>
      <w:r>
        <w:rPr>
          <w:position w:val="-10"/>
        </w:rPr>
        <w:drawing>
          <wp:inline distT="0" distB="0" distL="0" distR="0">
            <wp:extent cx="487045" cy="2895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приведенным в </w:t>
      </w:r>
      <w:hyperlink w:history="0" w:anchor="P124" w:tooltip="Таблица 5.2">
        <w:r>
          <w:rPr>
            <w:sz w:val="24"/>
            <w:color w:val="0000ff"/>
          </w:rPr>
          <w:t xml:space="preserve">табл. 5.2</w:t>
        </w:r>
      </w:hyperlink>
      <w:r>
        <w:rPr>
          <w:sz w:val="24"/>
        </w:rPr>
        <w:t xml:space="preserve">, можно использовать в качестве оценки эквивалентной дозы облучения хрусталиков глаз. В качестве значения эквивалентной дозы на поверхности нижней части области живота женщины в возрасте до 45 лет необходимо принимать значение, соответствующее показанию дозиметра, расположенного под фартуком на уровне талии.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Медицинский персонал, проводящий исследования молочной железы (маммография), работает на рентгеновских аппаратах с напряжением на трубке 21 - 35 кВ. В этом случае большая часть спектра рассеянного рентгеновского излучения находится в области энергии 10 - 20 кэВ, где лимитирующим с точки зрения обеспечения радиационной безопасности является облучение хрусталика глаза. В этом случае индивидуальный дозиметр, отвечающий требованиям определения </w:t>
      </w:r>
      <w:r>
        <w:rPr>
          <w:position w:val="-10"/>
        </w:rPr>
        <w:drawing>
          <wp:inline distT="0" distB="0" distL="0" distR="0">
            <wp:extent cx="467360" cy="2895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должен располагаться над фартуком на воротнике халата или на шапочке. В качестве оценки эквивалентной дозы на хрусталик глаза необходимо принимать значение, соответствующее показанию дозиметра.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6.8. Медицинский персонал, занятый проведением терапевтических процедур с использованием рентгеновских и гамма-аппаратов, а также ускорителей заряженных частиц, находится за пределами биологической защиты источника. При этом облучение тела равномерно и для этой категории персонала достаточно одного индивидуального дозиметра, расположенного на поверхности тела. В качестве значения эффективной дозы необходимо принимать значение, соответствующее показанию дозиметра.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6.9. Медицинский персонал при проведении диагностического исследования или терапевтической процедуры с использованием радиофармпрепаратов или закрытых радионуклидных источников выполняет целый ряд последовательных операций, характеризующихся, во-первых, неоднородным облучением тела гамма-излучением в широком спектре энергий, и, во-вторых, большой вариабельностью мощностей доз на рабочих местах и продолжительностью исследований. Все это затрудняет проведение ГДК персонала и оценку индивидуальных доз на основе измерения мощностей доз на рабочих местах. Поэтому для этой категории медицинского персонала необходимо проведение ИДК. Для медицинского персонала с такими условиями облучения необходимо ношение двух индивидуальных дозиметров. Дозиметры располагаются на груди и на спине. Эффективная доза оценивается с помощью выражения: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position w:val="-10"/>
        </w:rPr>
        <w:drawing>
          <wp:inline distT="0" distB="0" distL="0" distR="0">
            <wp:extent cx="2590800" cy="2800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мЗв, где (6.6)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position w:val="-10"/>
        </w:rPr>
        <w:drawing>
          <wp:inline distT="0" distB="0" distL="0" distR="0">
            <wp:extent cx="663575" cy="2800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доза, зарегистрированная дозиметром, расположенным на груди, мЗв;</w:t>
      </w:r>
    </w:p>
    <w:p>
      <w:pPr>
        <w:pStyle w:val="0"/>
        <w:spacing w:before="240" w:lineRule="auto"/>
        <w:ind w:firstLine="540"/>
        <w:jc w:val="both"/>
      </w:pPr>
      <w:r>
        <w:rPr>
          <w:position w:val="-10"/>
        </w:rPr>
        <w:drawing>
          <wp:inline distT="0" distB="0" distL="0" distR="0">
            <wp:extent cx="640080" cy="2800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доза, зарегистрированная дозиметром, расположенным на спине, мЗв.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Эквивалентные дозы облучения хрусталиков глаз и кожи не контролируются. В качестве значения эквивалентной дозы на поверхности нижней части области живота женщины в возрасте до 45 лет принимается значение, соответствующее значению эффективной дозы. При этом дозиметры спереди и сзади должны располагаться на уровне талии.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6.10. В тех случаях, когда ожидается, что максимальная доза на кожу рук может, по крайней мере, в десять раз превышать дозу на поверхность тела, следует носить один или несколько дозиметров, расположенных на пальцах рук. Контроль производится дозиметрами, отвечающими требованиям определения </w:t>
      </w:r>
      <w:r>
        <w:rPr>
          <w:position w:val="-10"/>
        </w:rPr>
        <w:drawing>
          <wp:inline distT="0" distB="0" distL="0" distR="0">
            <wp:extent cx="746760" cy="2895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(</w:t>
      </w:r>
      <w:hyperlink w:history="0" w:anchor="P124" w:tooltip="Таблица 5.2">
        <w:r>
          <w:rPr>
            <w:sz w:val="24"/>
            <w:color w:val="0000ff"/>
          </w:rPr>
          <w:t xml:space="preserve">табл. 5.2</w:t>
        </w:r>
      </w:hyperlink>
      <w:r>
        <w:rPr>
          <w:sz w:val="24"/>
        </w:rPr>
        <w:t xml:space="preserve">). Показания дозиметра используются в качестве оценки эквивалентной дозы в коже.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VII. Организация контроля облучения медицинского персонала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7.1. Ответственным за радиационный контроль в медицинской организации является лицо, назначаемое приказом по организации. Радиационный контроль осуществляется в соответствии с утвержденной руководителем организации программой, устанавливающей правила проведения дозиметрического контроля персонала.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7.2. В программе должны быть отражены вопросы, важные с точки зрения обеспечения качества дозиметрического контроля, в том числе: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определение контролируемых групп персонала, для членов которых необходимо проведение ГДК или ИДК;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порядок проведения ГДК с указанием рабочих мест, где необходимо проводить измерения мощностей доз;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порядок проведения ИДК с указанием количества и мест ношения на теле работника индивидуальных дозиметров;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вопросы контроля правильности ношения индивидуальных дозиметров и применения средств индивидуальной защиты;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действий при превышении контрольных уровней.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7.3. По сложившейся практике дозиметрического контроля в медицинских организациях измерения с оформлением результатов обычно осуществляются сторонними организациями (испытательными лабораторными центрами, лабораториями радиационного контроля и др.), аккредитованными в установленном порядке.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7.4. Лицо, ответственное за радиационный контроль в медицинской организации, по окончании периода контроля передает в организацию, осуществляющую радиационный контроль, дозиметры и ведомость, содержащую сведения о Ф.,И.,О. сотрудников, характере работы, периоде контроля, номерах и местах ношения дозиметров. Рекомендуемая форма ведомости приведена в </w:t>
      </w:r>
      <w:hyperlink w:history="0" w:anchor="P301" w:tooltip="РЕКОМЕНДУЕМАЯ ФОРМА ВЕДОМОСТИ">
        <w:r>
          <w:rPr>
            <w:sz w:val="24"/>
            <w:color w:val="0000ff"/>
          </w:rPr>
          <w:t xml:space="preserve">прилож. 1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7.5. Организация, проводившая радиационный контроль, оформляет результаты измерений (определения) доз за контролируемый период в виде протокола, утвержденного руководителем организации. Протокол составляется в двух экземплярах, один из которых передается в медицинскую организацию, где работал персонал, а второй остается в архиве организации, проводившей контроль. Рекомендуемая форма протокола приведена в </w:t>
      </w:r>
      <w:hyperlink w:history="0" w:anchor="P456" w:tooltip="РЕКОМЕНДУЕМАЯ ФОРМА ПРОТОКОЛА">
        <w:r>
          <w:rPr>
            <w:sz w:val="24"/>
            <w:color w:val="0000ff"/>
          </w:rPr>
          <w:t xml:space="preserve">прилож. 2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7.6. Администрация организации устанавливает контрольные уровни (далее - КУ). КУ не является допустимым значением контролируемой величины. Он используется для определения необходимых действий, когда значение контролируемой величины превышает или по прогнозу может превысить КУ. Действия, которые предпринимаются в этом случае, могут состоять в простой регистрации информации, проведении исследований в целях выяснения причины наблюдаемых изменений в радиационной обстановке или вмешательстве в процесс эксплуатации источника с целью уменьшения индивидуальной эффективной дозы облучения персонала.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VIII. Сохранение информации об облучении персонала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8.1. В соответствии с </w:t>
      </w:r>
      <w:hyperlink w:history="0" r:id="rId57" w:tooltip="Постановление Главного государственного санитарного врача РФ от 26.04.2010 N 40 (ред. от 16.09.2013) &quot;Об утверждении СП 2.6.1.2612-10 &quot;Основные санитарные правила обеспечения радиационной безопасности (ОСПОРБ-99/2010)&quot; (вместе с &quot;СП 2.6.1.2612-10. ОСПОРБ-99/2010. Санитарные правила и нормативы...&quot;) (Зарегистрировано в Минюсте России 11.08.2010 N 18115) {КонсультантПлюс}">
        <w:r>
          <w:rPr>
            <w:sz w:val="24"/>
            <w:color w:val="0000ff"/>
          </w:rPr>
          <w:t xml:space="preserve">п. 3.13.7</w:t>
        </w:r>
      </w:hyperlink>
      <w:r>
        <w:rPr>
          <w:sz w:val="24"/>
        </w:rPr>
        <w:t xml:space="preserve"> ОСПОРБ-99/2010 в медицинской организации, использующей ИИИ, на каждого сотрудника, отнесенного к персоналу группы А, оформляется индивидуальная карточка учета доз (</w:t>
      </w:r>
      <w:hyperlink w:history="0" w:anchor="P522" w:tooltip="            Карточка учета индивидуальных доз персонала N ____">
        <w:r>
          <w:rPr>
            <w:sz w:val="24"/>
            <w:color w:val="0000ff"/>
          </w:rPr>
          <w:t xml:space="preserve">прилож. 3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8.2. В индивидуальной карточке учета доз в установленном порядке должны быть отражены индивидуальные данные об облучении, в том числе: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идентификационная информация об индивидууме и его профессиональной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индивидуальные дозы облучения, полученные в течение периода контроля и календарного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информация относительно облучения работника: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 период трудовой деятельности и за все предшествующие годы трудовой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 период прикомандирования к другим организациям;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результате радиационных аварий и планированного повышенного облучения.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8.3. Индивидуальные записи об облучении работника периодически обновляются в соответствии с длительностью контролируемого периода и хранятся в виде твердой копии в архиве, а также в электронной форме - в электронной базе данных ИДК организации. Срок хранения индивидуальных карточек учета доз в соответствии с требованиями ОСПОРБ-99/2010 устанавливается равным 50 годам.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8.4. Каждая медицинская организация по завершении отчетного года составляет статистический отчет по </w:t>
      </w:r>
      <w:hyperlink w:history="0" r:id="rId58" w:tooltip="Приказ Росстата от 16.10.2013 N 411 (ред. от 30.11.2022) &quot;Об утверждении статистического инструментария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территорий, профессиональными заболеваниями (отравлениями), дозами облучения&quot; {КонсультантПлюс}">
        <w:r>
          <w:rPr>
            <w:sz w:val="24"/>
            <w:color w:val="0000ff"/>
          </w:rPr>
          <w:t xml:space="preserve">форме N 1-ДОЗ</w:t>
        </w:r>
      </w:hyperlink>
      <w:r>
        <w:rPr>
          <w:sz w:val="24"/>
        </w:rPr>
        <w:t xml:space="preserve"> с использованием информации, содержащейся в индивидуальных карточках учета доз, заполненных в течение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8.5. В соответствии со </w:t>
      </w:r>
      <w:hyperlink w:history="0" r:id="rId59" w:tooltip="Федеральный закон от 20.02.1995 N 24-ФЗ (ред. от 10.01.2003) &quot;Об информации, информатизации и защите информации&quot; ------------ Утратил силу или отменен {КонсультантПлюс}">
        <w:r>
          <w:rPr>
            <w:sz w:val="24"/>
            <w:color w:val="0000ff"/>
          </w:rPr>
          <w:t xml:space="preserve">статьей 11</w:t>
        </w:r>
      </w:hyperlink>
      <w:r>
        <w:rPr>
          <w:sz w:val="24"/>
        </w:rPr>
        <w:t xml:space="preserve"> Федерального закона от 20.02.1995 N 24-ФЗ "Об информации, информатизации и защите информации" индивидуальные записи об облучении работника относятся к категории конфиденциальной информации.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IX. Технические требования к средствам измерения</w:t>
      </w:r>
    </w:p>
    <w:p>
      <w:pPr>
        <w:pStyle w:val="0"/>
        <w:jc w:val="center"/>
      </w:pPr>
      <w:r>
        <w:rPr>
          <w:sz w:val="24"/>
        </w:rPr>
        <w:t xml:space="preserve">для дозиметрического контроля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9.1. Инструментально определяемыми величинами при дозиметрическом контроле являются операционные величины, приведенные в </w:t>
      </w:r>
      <w:hyperlink w:history="0" w:anchor="P97" w:tooltip="Таблица 5.1">
        <w:r>
          <w:rPr>
            <w:sz w:val="24"/>
            <w:color w:val="0000ff"/>
          </w:rPr>
          <w:t xml:space="preserve">табл. 5.1</w:t>
        </w:r>
      </w:hyperlink>
      <w:r>
        <w:rPr>
          <w:sz w:val="24"/>
        </w:rPr>
        <w:t xml:space="preserve"> и </w:t>
      </w:r>
      <w:hyperlink w:history="0" w:anchor="P124" w:tooltip="Таблица 5.2">
        <w:r>
          <w:rPr>
            <w:sz w:val="24"/>
            <w:color w:val="0000ff"/>
          </w:rPr>
          <w:t xml:space="preserve">5.2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9.2. Для контроля доз облучения персонала должны применяться предназначенные для этих целей средства измерений, имеющие действующие свидетельства о поверке.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9.3. Нижняя граница энергетического диапазона регистрации фотонного излучения должна быть не более 15 кэВ.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9.4. Верхняя граница энергетического диапазона регистрации фотонного излучения при измерениях доз должна соответствовать максимальной энергии фотонного излучения, генерируемого источником.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9.5. Минимальные диапазоны измерений (определения) доз при дозиметрическом контроле приведены в </w:t>
      </w:r>
      <w:hyperlink w:history="0" w:anchor="P264" w:tooltip="Минимально необходимый диапазон измерения величин за период">
        <w:r>
          <w:rPr>
            <w:sz w:val="24"/>
            <w:color w:val="0000ff"/>
          </w:rPr>
          <w:t xml:space="preserve">табл. 9.1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9.6. При выборе типа дозиметра и методики выполнения измерений следует руководствоваться требованиями к допустимым относительным неопределенностям определения величин, приведенным в </w:t>
      </w:r>
      <w:hyperlink w:history="0" w:anchor="P279" w:tooltip="Таблица 9.2">
        <w:r>
          <w:rPr>
            <w:sz w:val="24"/>
            <w:color w:val="0000ff"/>
          </w:rPr>
          <w:t xml:space="preserve">табл. 9.2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9.7. В технической документации на средства измерения указывается основная погрешность, соответствующая стандартным условиям измерений, а также дополнительные погрешности, обусловленные отличием конкретных условий измерений от стандартных. К ним относятся: спектральные и угловые характеристики поля излучения, климатические условия, влияние неионизирующих излучений.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9.1</w:t>
      </w:r>
    </w:p>
    <w:p>
      <w:pPr>
        <w:pStyle w:val="0"/>
        <w:jc w:val="both"/>
      </w:pPr>
      <w:r>
        <w:rPr>
          <w:sz w:val="24"/>
        </w:rPr>
      </w:r>
    </w:p>
    <w:bookmarkStart w:id="264" w:name="P264"/>
    <w:bookmarkEnd w:id="264"/>
    <w:p>
      <w:pPr>
        <w:pStyle w:val="0"/>
        <w:jc w:val="center"/>
      </w:pPr>
      <w:r>
        <w:rPr>
          <w:sz w:val="24"/>
        </w:rPr>
        <w:t xml:space="preserve">Минимально необходимый диапазон измерения величин за период</w:t>
      </w:r>
    </w:p>
    <w:p>
      <w:pPr>
        <w:pStyle w:val="0"/>
        <w:jc w:val="center"/>
      </w:pPr>
      <w:r>
        <w:rPr>
          <w:sz w:val="24"/>
        </w:rPr>
        <w:t xml:space="preserve">контроля при текущем ИДК внешнего облучения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60" w:tooltip="&quot;2.6.1. Гигиена. Радиационная гигиена. Ионизирующее излучение, радиационная безопасность. Организация и проведение индивидуального дозиметрического контроля. Персонал медицинских организаций. Изменение 1 к МУ 2.6.1.3015-12. Методические указания&quot; (утв. Главным государственным санитарным врачом РФ 20.05.2015) {КонсультантПлюс}">
        <w:r>
          <w:rPr>
            <w:sz w:val="24"/>
            <w:color w:val="0000ff"/>
          </w:rPr>
          <w:t xml:space="preserve">Изменения N 1</w:t>
        </w:r>
      </w:hyperlink>
      <w:r>
        <w:rPr>
          <w:sz w:val="24"/>
        </w:rPr>
        <w:t xml:space="preserve">, утв. Главным государственным</w:t>
      </w:r>
    </w:p>
    <w:p>
      <w:pPr>
        <w:pStyle w:val="0"/>
        <w:jc w:val="center"/>
      </w:pPr>
      <w:r>
        <w:rPr>
          <w:sz w:val="24"/>
        </w:rPr>
        <w:t xml:space="preserve">санитарным врачом РФ 20.05.2015)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38"/>
        <w:gridCol w:w="4838"/>
      </w:tblGrid>
      <w:tr>
        <w:tc>
          <w:tcPr>
            <w:tcW w:w="48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Определяемая величина</w:t>
            </w:r>
          </w:p>
        </w:tc>
        <w:tc>
          <w:tcPr>
            <w:tcW w:w="48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Диапазон измерения, мЗв</w:t>
            </w:r>
          </w:p>
        </w:tc>
      </w:tr>
      <w:tr>
        <w:tc>
          <w:tcPr>
            <w:tcW w:w="48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</w:t>
            </w:r>
            <w:r>
              <w:rPr>
                <w:sz w:val="24"/>
                <w:vertAlign w:val="subscript"/>
              </w:rPr>
              <w:t xml:space="preserve">p</w:t>
            </w:r>
            <w:r>
              <w:rPr>
                <w:sz w:val="24"/>
              </w:rPr>
              <w:t xml:space="preserve"> (10)</w:t>
            </w:r>
          </w:p>
        </w:tc>
        <w:tc>
          <w:tcPr>
            <w:tcW w:w="48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0,05 - 500</w:t>
            </w:r>
          </w:p>
        </w:tc>
      </w:tr>
      <w:tr>
        <w:tc>
          <w:tcPr>
            <w:tcW w:w="48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</w:t>
            </w:r>
            <w:r>
              <w:rPr>
                <w:sz w:val="24"/>
                <w:vertAlign w:val="subscript"/>
              </w:rPr>
              <w:t xml:space="preserve">p</w:t>
            </w:r>
            <w:r>
              <w:rPr>
                <w:sz w:val="24"/>
              </w:rPr>
              <w:t xml:space="preserve"> (0,07)</w:t>
            </w:r>
          </w:p>
        </w:tc>
        <w:tc>
          <w:tcPr>
            <w:tcW w:w="48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2,0 - 5 000</w:t>
            </w:r>
          </w:p>
        </w:tc>
      </w:tr>
      <w:tr>
        <w:tc>
          <w:tcPr>
            <w:tcW w:w="48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H</w:t>
            </w:r>
            <w:r>
              <w:rPr>
                <w:sz w:val="24"/>
                <w:vertAlign w:val="subscript"/>
              </w:rPr>
              <w:t xml:space="preserve">p</w:t>
            </w:r>
            <w:r>
              <w:rPr>
                <w:sz w:val="24"/>
              </w:rPr>
              <w:t xml:space="preserve"> (3)</w:t>
            </w:r>
          </w:p>
        </w:tc>
        <w:tc>
          <w:tcPr>
            <w:tcW w:w="48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0,1 - 1 500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279" w:name="P279"/>
    <w:bookmarkEnd w:id="279"/>
    <w:p>
      <w:pPr>
        <w:pStyle w:val="0"/>
        <w:outlineLvl w:val="2"/>
        <w:jc w:val="right"/>
      </w:pPr>
      <w:r>
        <w:rPr>
          <w:sz w:val="24"/>
        </w:rPr>
        <w:t xml:space="preserve">Таблица 9.2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Допустимые относительные неопределенности определения</w:t>
      </w:r>
    </w:p>
    <w:p>
      <w:pPr>
        <w:pStyle w:val="0"/>
        <w:jc w:val="center"/>
      </w:pPr>
      <w:r>
        <w:rPr>
          <w:sz w:val="24"/>
        </w:rPr>
        <w:t xml:space="preserve">индивидуального эквивалента дозы при ИДК внешнего</w:t>
      </w:r>
    </w:p>
    <w:p>
      <w:pPr>
        <w:pStyle w:val="0"/>
        <w:jc w:val="center"/>
      </w:pPr>
      <w:r>
        <w:rPr>
          <w:sz w:val="24"/>
        </w:rPr>
        <w:t xml:space="preserve">облучения фотонами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3"/>
        <w:jc w:val="both"/>
      </w:pPr>
      <w:r>
        <w:rPr>
          <w:sz w:val="20"/>
        </w:rPr>
        <w:t xml:space="preserve">┌───────────────────────────────────────┬─────────────────────────────────┐</w:t>
      </w:r>
    </w:p>
    <w:p>
      <w:pPr>
        <w:pStyle w:val="3"/>
        <w:jc w:val="both"/>
      </w:pPr>
      <w:r>
        <w:rPr>
          <w:sz w:val="20"/>
        </w:rPr>
        <w:t xml:space="preserve">│          Условия определения          │       Неопределенность, %       │</w:t>
      </w:r>
    </w:p>
    <w:p>
      <w:pPr>
        <w:pStyle w:val="3"/>
        <w:jc w:val="both"/>
      </w:pPr>
      <w:r>
        <w:rPr>
          <w:sz w:val="20"/>
        </w:rPr>
        <w:t xml:space="preserve">├───────────────────────────────────────┼─────────────────────────────────┤</w:t>
      </w:r>
    </w:p>
    <w:p>
      <w:pPr>
        <w:pStyle w:val="3"/>
        <w:jc w:val="both"/>
      </w:pPr>
      <w:r>
        <w:rPr>
          <w:sz w:val="20"/>
        </w:rPr>
        <w:t xml:space="preserve">│На уровне основных пределов дозы       │               +50               │</w:t>
      </w:r>
    </w:p>
    <w:p>
      <w:pPr>
        <w:pStyle w:val="3"/>
        <w:jc w:val="both"/>
      </w:pPr>
      <w:r>
        <w:rPr>
          <w:sz w:val="20"/>
        </w:rPr>
        <w:t xml:space="preserve">│                                       │               -30               │</w:t>
      </w:r>
    </w:p>
    <w:p>
      <w:pPr>
        <w:pStyle w:val="3"/>
        <w:jc w:val="both"/>
      </w:pPr>
      <w:r>
        <w:rPr>
          <w:sz w:val="20"/>
        </w:rPr>
        <w:t xml:space="preserve">├───────────────────────────────────────┼─────────────────────────────────┤</w:t>
      </w:r>
    </w:p>
    <w:p>
      <w:pPr>
        <w:pStyle w:val="3"/>
        <w:jc w:val="both"/>
      </w:pPr>
      <w:r>
        <w:rPr>
          <w:sz w:val="20"/>
        </w:rPr>
        <w:t xml:space="preserve">│На уровне 1/5 основных пределов дозы   │              +100               │</w:t>
      </w:r>
    </w:p>
    <w:p>
      <w:pPr>
        <w:pStyle w:val="3"/>
        <w:jc w:val="both"/>
      </w:pPr>
      <w:r>
        <w:rPr>
          <w:sz w:val="20"/>
        </w:rPr>
        <w:t xml:space="preserve">│                                       │               -50               │</w:t>
      </w:r>
    </w:p>
    <w:p>
      <w:pPr>
        <w:pStyle w:val="3"/>
        <w:jc w:val="both"/>
      </w:pPr>
      <w:r>
        <w:rPr>
          <w:sz w:val="20"/>
        </w:rPr>
        <w:t xml:space="preserve">└───────────────────────────────────────┴─────────────────────────────────┘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1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01" w:name="P301"/>
    <w:bookmarkEnd w:id="301"/>
    <w:p>
      <w:pPr>
        <w:pStyle w:val="0"/>
        <w:jc w:val="center"/>
      </w:pPr>
      <w:r>
        <w:rPr>
          <w:sz w:val="24"/>
        </w:rPr>
        <w:t xml:space="preserve">РЕКОМЕНДУЕМАЯ ФОРМА ВЕДОМОСТИ</w:t>
      </w:r>
    </w:p>
    <w:p>
      <w:pPr>
        <w:pStyle w:val="0"/>
        <w:jc w:val="center"/>
      </w:pPr>
      <w:r>
        <w:rPr>
          <w:sz w:val="24"/>
        </w:rPr>
        <w:t xml:space="preserve">ПО ПЕРЕДАЧЕ ДОЗИМЕТРОВ В ЛАБОРАТОРИЮ, ОСУЩЕСТВЛЯЮЩУЮ</w:t>
      </w:r>
    </w:p>
    <w:p>
      <w:pPr>
        <w:pStyle w:val="0"/>
        <w:jc w:val="center"/>
      </w:pPr>
      <w:r>
        <w:rPr>
          <w:sz w:val="24"/>
        </w:rPr>
        <w:t xml:space="preserve">ДОЗИМЕТРИЧЕСКИЙ КОНТРОЛЬ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ВЕДОМОСТЬ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Наименование медицинской организации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90"/>
        <w:gridCol w:w="1815"/>
        <w:gridCol w:w="990"/>
        <w:gridCol w:w="2475"/>
        <w:gridCol w:w="1815"/>
        <w:gridCol w:w="1485"/>
        <w:gridCol w:w="1155"/>
        <w:gridCol w:w="1485"/>
      </w:tblGrid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п.п.</w:t>
            </w:r>
          </w:p>
        </w:tc>
        <w:tc>
          <w:tcPr>
            <w:tcW w:w="18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И.,О.</w:t>
            </w:r>
          </w:p>
        </w:tc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ТЛД</w:t>
            </w:r>
          </w:p>
        </w:tc>
        <w:tc>
          <w:tcPr>
            <w:tcW w:w="24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Характер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работы, место размещения ТЛД</w:t>
            </w:r>
          </w:p>
        </w:tc>
        <w:tc>
          <w:tcPr>
            <w:tcW w:w="18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получения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  <w:p>
            <w:pPr>
              <w:pStyle w:val="0"/>
              <w:jc w:val="center"/>
            </w:pPr>
            <w:hyperlink w:history="0" w:anchor="P448" w:tooltip="&lt;*&gt; Каждый сотрудник должен расписаться при получении и сдаче дозиметра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11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сдачи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  <w:p>
            <w:pPr>
              <w:pStyle w:val="0"/>
              <w:jc w:val="center"/>
            </w:pPr>
            <w:hyperlink w:history="0" w:anchor="P448" w:tooltip="&lt;*&gt; Каждый сотрудник должен расписаться при получении и сдаче дозиметра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47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15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48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14"/>
          <w:headerReference w:type="first" r:id="rId14"/>
          <w:footerReference w:type="default" r:id="rId15"/>
          <w:footerReference w:type="first" r:id="rId1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Лицо, ответственное за радиационный контроль: ____________________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48" w:name="P448"/>
    <w:bookmarkEnd w:id="44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Каждый сотрудник должен расписаться при получении и сдаче дозиметра.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2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56" w:name="P456"/>
    <w:bookmarkEnd w:id="456"/>
    <w:p>
      <w:pPr>
        <w:pStyle w:val="0"/>
        <w:jc w:val="center"/>
      </w:pPr>
      <w:r>
        <w:rPr>
          <w:sz w:val="24"/>
        </w:rPr>
        <w:t xml:space="preserve">РЕКОМЕНДУЕМАЯ ФОРМА ПРОТОКОЛА</w:t>
      </w:r>
    </w:p>
    <w:p>
      <w:pPr>
        <w:pStyle w:val="0"/>
        <w:jc w:val="center"/>
      </w:pPr>
      <w:r>
        <w:rPr>
          <w:sz w:val="24"/>
        </w:rPr>
        <w:t xml:space="preserve">ПРОВЕДЕНИЯ ИДК ПЕРСОНАЛА МЕДИЦИНСКОЙ ОРГАНИЗАЦИИ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"Утверждаю"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дата, подпись, печать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ПРОТОКОЛ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Наименование учреждения, проводящего измерения, N и срок действия Аттестата</w:t>
      </w:r>
    </w:p>
    <w:p>
      <w:pPr>
        <w:pStyle w:val="1"/>
        <w:jc w:val="both"/>
      </w:pPr>
      <w:r>
        <w:rPr>
          <w:sz w:val="20"/>
        </w:rPr>
        <w:t xml:space="preserve">аккредитации: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организации, где проводятся измерения: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Ф., И., О.  ответственного  лица  от  организации,  проводящей   измерения: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Дата раздачи индивидуальных дозиметров: ___________________________________</w:t>
      </w:r>
    </w:p>
    <w:p>
      <w:pPr>
        <w:pStyle w:val="1"/>
        <w:jc w:val="both"/>
      </w:pPr>
      <w:r>
        <w:rPr>
          <w:sz w:val="20"/>
        </w:rPr>
        <w:t xml:space="preserve">Дата сбора индивидуальных дозиметров: _____________________________________</w:t>
      </w:r>
    </w:p>
    <w:p>
      <w:pPr>
        <w:pStyle w:val="1"/>
        <w:jc w:val="both"/>
      </w:pPr>
      <w:r>
        <w:rPr>
          <w:sz w:val="20"/>
        </w:rPr>
        <w:t xml:space="preserve">Тип индивидуальных дозиметров: 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Тип прибора для считывания показаний индивидуальных дозиметров: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Заводской N: ___________</w:t>
      </w:r>
    </w:p>
    <w:p>
      <w:pPr>
        <w:pStyle w:val="1"/>
        <w:jc w:val="both"/>
      </w:pPr>
      <w:r>
        <w:rPr>
          <w:sz w:val="20"/>
        </w:rPr>
        <w:t xml:space="preserve">Дата и срок действия свидетельства о поверке.</w:t>
      </w:r>
    </w:p>
    <w:p>
      <w:pPr>
        <w:pStyle w:val="1"/>
        <w:jc w:val="both"/>
      </w:pPr>
      <w:r>
        <w:rPr>
          <w:sz w:val="20"/>
        </w:rPr>
        <w:t xml:space="preserve">Перечень  нормативных  правовых  и  методических  документов  (</w:t>
      </w:r>
      <w:hyperlink w:history="0" r:id="rId61" w:tooltip="Постановление Главного государственного санитарного врача РФ от 07.07.2009 N 47 &quot;Об утверждении СанПиН 2.6.1.2523-09&quot; (вместе с &quot;НРБ-99/2009. СанПиН 2.6.1.2523-09. Нормы радиационной безопасности. Санитарные правила и нормативы&quot;) (Зарегистрировано в Минюсте РФ 14.08.2009 N 14534) {КонсультантПлюс}">
        <w:r>
          <w:rPr>
            <w:sz w:val="20"/>
            <w:color w:val="0000ff"/>
          </w:rPr>
          <w:t xml:space="preserve">НРБ-99/2009</w:t>
        </w:r>
      </w:hyperlink>
      <w:r>
        <w:rPr>
          <w:sz w:val="20"/>
        </w:rPr>
        <w:t xml:space="preserve">,</w:t>
      </w:r>
    </w:p>
    <w:p>
      <w:pPr>
        <w:pStyle w:val="1"/>
        <w:jc w:val="both"/>
      </w:pPr>
      <w:hyperlink w:history="0" r:id="rId62" w:tooltip="Постановление Главного государственного санитарного врача РФ от 26.04.2010 N 40 (ред. от 16.09.2013) &quot;Об утверждении СП 2.6.1.2612-10 &quot;Основные санитарные правила обеспечения радиационной безопасности (ОСПОРБ-99/2010)&quot; (вместе с &quot;СП 2.6.1.2612-10. ОСПОРБ-99/2010. Санитарные правила и нормативы...&quot;) (Зарегистрировано в Минюсте России 11.08.2010 N 18115) {КонсультантПлюс}">
        <w:r>
          <w:rPr>
            <w:sz w:val="20"/>
            <w:color w:val="0000ff"/>
          </w:rPr>
          <w:t xml:space="preserve">ОСПОРБ</w:t>
        </w:r>
      </w:hyperlink>
      <w:r>
        <w:rPr>
          <w:sz w:val="20"/>
        </w:rPr>
        <w:t xml:space="preserve"> 99/2010, МВИ.</w:t>
      </w:r>
    </w:p>
    <w:p>
      <w:pPr>
        <w:pStyle w:val="1"/>
        <w:jc w:val="both"/>
      </w:pPr>
      <w:r>
        <w:rPr>
          <w:sz w:val="20"/>
        </w:rPr>
        <w:t xml:space="preserve">Климатические условия  при  проведении   измерений   (температура  воздуха,</w:t>
      </w:r>
    </w:p>
    <w:p>
      <w:pPr>
        <w:pStyle w:val="1"/>
        <w:jc w:val="both"/>
      </w:pPr>
      <w:r>
        <w:rPr>
          <w:sz w:val="20"/>
        </w:rPr>
        <w:t xml:space="preserve">относительная влажность, атмосферное давление).</w:t>
      </w:r>
    </w:p>
    <w:p>
      <w:pPr>
        <w:pStyle w:val="0"/>
        <w:jc w:val="both"/>
      </w:pPr>
      <w:r>
        <w:rPr>
          <w:sz w:val="24"/>
        </w:rPr>
      </w:r>
    </w:p>
    <w:p>
      <w:pPr>
        <w:pStyle w:val="3"/>
        <w:jc w:val="both"/>
      </w:pPr>
      <w:r>
        <w:rPr>
          <w:sz w:val="20"/>
        </w:rPr>
        <w:t xml:space="preserve">┌───────┬─────────┬──────────┬──────────────┬───────┬───────┬─────────────┐</w:t>
      </w:r>
    </w:p>
    <w:bookmarkStart w:id="485" w:name="P485"/>
    <w:bookmarkEnd w:id="485"/>
    <w:p>
      <w:pPr>
        <w:pStyle w:val="3"/>
        <w:jc w:val="both"/>
      </w:pPr>
      <w:r>
        <w:rPr>
          <w:sz w:val="20"/>
        </w:rPr>
        <w:t xml:space="preserve">│Ф., И.,│Характер │  Номер   │  Количество  │ H (d),│ внеш  │  Примечание │</w:t>
      </w:r>
    </w:p>
    <w:p>
      <w:pPr>
        <w:pStyle w:val="3"/>
        <w:jc w:val="both"/>
      </w:pPr>
      <w:r>
        <w:rPr>
          <w:sz w:val="20"/>
        </w:rPr>
        <w:t xml:space="preserve">│   О.  │ работы  │дозиметра │ и размещение │  p    │E    , │             │</w:t>
      </w:r>
    </w:p>
    <w:p>
      <w:pPr>
        <w:pStyle w:val="3"/>
        <w:jc w:val="both"/>
      </w:pPr>
      <w:r>
        <w:rPr>
          <w:sz w:val="20"/>
        </w:rPr>
        <w:t xml:space="preserve">│       │         │          │  дозиметров  │  мЗв  │  мЗв  │             │</w:t>
      </w:r>
    </w:p>
    <w:p>
      <w:pPr>
        <w:pStyle w:val="3"/>
        <w:jc w:val="both"/>
      </w:pPr>
      <w:r>
        <w:rPr>
          <w:sz w:val="20"/>
        </w:rPr>
        <w:t xml:space="preserve">│       │         │          │   на теле    │       │       │             │</w:t>
      </w:r>
    </w:p>
    <w:p>
      <w:pPr>
        <w:pStyle w:val="3"/>
        <w:jc w:val="both"/>
      </w:pPr>
      <w:r>
        <w:rPr>
          <w:sz w:val="20"/>
        </w:rPr>
        <w:t xml:space="preserve">├───────┼─────────┼──────────┼──────────────┼───────┼───────┼─────────────┤</w:t>
      </w:r>
    </w:p>
    <w:bookmarkStart w:id="490" w:name="P490"/>
    <w:bookmarkEnd w:id="490"/>
    <w:p>
      <w:pPr>
        <w:pStyle w:val="3"/>
        <w:jc w:val="both"/>
      </w:pPr>
      <w:r>
        <w:rPr>
          <w:sz w:val="20"/>
        </w:rPr>
        <w:t xml:space="preserve">│   1   │    2    │    3     │      4       │   5   │   6   │      7      │</w:t>
      </w:r>
    </w:p>
    <w:p>
      <w:pPr>
        <w:pStyle w:val="3"/>
        <w:jc w:val="both"/>
      </w:pPr>
      <w:r>
        <w:rPr>
          <w:sz w:val="20"/>
        </w:rPr>
        <w:t xml:space="preserve">├───────┼─────────┼──────────┼──────────────┼───────┼───────┼─────────────┤</w:t>
      </w:r>
    </w:p>
    <w:p>
      <w:pPr>
        <w:pStyle w:val="3"/>
        <w:jc w:val="both"/>
      </w:pPr>
      <w:r>
        <w:rPr>
          <w:sz w:val="20"/>
        </w:rPr>
        <w:t xml:space="preserve">│       │         │          │              │       │       │             │</w:t>
      </w:r>
    </w:p>
    <w:p>
      <w:pPr>
        <w:pStyle w:val="3"/>
        <w:jc w:val="both"/>
      </w:pPr>
      <w:r>
        <w:rPr>
          <w:sz w:val="20"/>
        </w:rPr>
        <w:t xml:space="preserve">├───────┼─────────┼──────────┼──────────────┼───────┼───────┼─────────────┤</w:t>
      </w:r>
    </w:p>
    <w:p>
      <w:pPr>
        <w:pStyle w:val="3"/>
        <w:jc w:val="both"/>
      </w:pPr>
      <w:r>
        <w:rPr>
          <w:sz w:val="20"/>
        </w:rPr>
        <w:t xml:space="preserve">│       │         │          │              │       │       │             │</w:t>
      </w:r>
    </w:p>
    <w:p>
      <w:pPr>
        <w:pStyle w:val="3"/>
        <w:jc w:val="both"/>
      </w:pPr>
      <w:r>
        <w:rPr>
          <w:sz w:val="20"/>
        </w:rPr>
        <w:t xml:space="preserve">└───────┴─────────┴──────────┴──────────────┴───────┴───────┴─────────────┘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Доза, зарегистрированная "фоновым" дозиметром </w:t>
      </w:r>
      <w:r>
        <w:rPr>
          <w:position w:val="-9"/>
        </w:rPr>
        <w:drawing>
          <wp:inline distT="0" distB="0" distL="0" distR="0">
            <wp:extent cx="228600" cy="24384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, мЗв: 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Подпись ответственного лица, проводящего измерения.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Пояснения по заполнению протокола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Фамилия, имя и отчество работника, получившего дозиметр.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Характер выполняемой работы с точки зрения необходимого количества выдаваемых дозиметров и мест их размещения на теле (</w:t>
      </w:r>
      <w:hyperlink w:history="0" w:anchor="P158" w:tooltip="VI. Определение индивидуальных доз внешнего">
        <w:r>
          <w:rPr>
            <w:sz w:val="24"/>
            <w:color w:val="0000ff"/>
          </w:rPr>
          <w:t xml:space="preserve">раздел VI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Номера выданных дозиметров.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Положение дозиметров на теле работника.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Оцененное по показаниям дозиметра за период контроля значение индивидуального эквивалента дозы. Здесь нужно указать процедуру оценки </w:t>
      </w:r>
      <w:r>
        <w:rPr>
          <w:position w:val="-12"/>
        </w:rPr>
        <w:drawing>
          <wp:inline distT="0" distB="0" distL="0" distR="0">
            <wp:extent cx="538480" cy="3111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на основе показаний дозиметра, если он был откалиброван не в терминах индивидуального эквивалента дозы.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Оцененное по показаниям дозиметра за период контроля с помощью соотношений (пп. 6.3 - 6.6) значение эффективной дозы, исходя из схемы размещения дозиметров на поверхности тела.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В </w:t>
      </w:r>
      <w:hyperlink w:history="0" w:anchor="P485" w:tooltip="│Ф., И.,│Характер │  Номер   │  Количество  │ H (d),│ внеш  │  Примечание │">
        <w:r>
          <w:rPr>
            <w:sz w:val="24"/>
            <w:color w:val="0000ff"/>
          </w:rPr>
          <w:t xml:space="preserve">графе</w:t>
        </w:r>
      </w:hyperlink>
      <w:r>
        <w:rPr>
          <w:sz w:val="24"/>
        </w:rPr>
        <w:t xml:space="preserve"> "Примечание" делаются отметки о замеченных фактах нарушения правил ношения дозиметра, а также о механических или иных повреждениях дозиметра (детекторов) после окончания срока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Далее данные из </w:t>
      </w:r>
      <w:hyperlink w:history="0" w:anchor="P490" w:tooltip="│   1   │    2    │    3     │      4       │   5   │   6   │      7      │">
        <w:r>
          <w:rPr>
            <w:sz w:val="24"/>
            <w:color w:val="0000ff"/>
          </w:rPr>
          <w:t xml:space="preserve">графы (6)</w:t>
        </w:r>
      </w:hyperlink>
      <w:r>
        <w:rPr>
          <w:sz w:val="24"/>
        </w:rPr>
        <w:t xml:space="preserve"> протокола вносятся в карточку учета индивидуальной дозы работника, рекомендуемая форма которой приведена в </w:t>
      </w:r>
      <w:hyperlink w:history="0" w:anchor="P522" w:tooltip="            Карточка учета индивидуальных доз персонала N ____">
        <w:r>
          <w:rPr>
            <w:sz w:val="24"/>
            <w:color w:val="0000ff"/>
          </w:rPr>
          <w:t xml:space="preserve">прилож. 3</w:t>
        </w:r>
      </w:hyperlink>
      <w:r>
        <w:rPr>
          <w:sz w:val="24"/>
        </w:rPr>
        <w:t xml:space="preserve">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3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                     ______________________</w:t>
      </w:r>
    </w:p>
    <w:p>
      <w:pPr>
        <w:pStyle w:val="1"/>
        <w:jc w:val="both"/>
      </w:pPr>
      <w:r>
        <w:rPr>
          <w:sz w:val="20"/>
        </w:rPr>
        <w:t xml:space="preserve">   (наименование организации,                           (дата заполнения)</w:t>
      </w:r>
    </w:p>
    <w:p>
      <w:pPr>
        <w:pStyle w:val="1"/>
        <w:jc w:val="both"/>
      </w:pPr>
      <w:r>
        <w:rPr>
          <w:sz w:val="20"/>
        </w:rPr>
        <w:t xml:space="preserve"> подразделения, адрес, телефон)</w:t>
      </w:r>
    </w:p>
    <w:p>
      <w:pPr>
        <w:pStyle w:val="1"/>
        <w:jc w:val="both"/>
      </w:pPr>
      <w:r>
        <w:rPr>
          <w:sz w:val="20"/>
        </w:rPr>
      </w:r>
    </w:p>
    <w:bookmarkStart w:id="522" w:name="P522"/>
    <w:bookmarkEnd w:id="522"/>
    <w:p>
      <w:pPr>
        <w:pStyle w:val="1"/>
        <w:jc w:val="both"/>
      </w:pPr>
      <w:r>
        <w:rPr>
          <w:sz w:val="20"/>
        </w:rPr>
        <w:t xml:space="preserve">            Карточка учета индивидуальных доз персонала N 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________________________________ 2. _______________</w:t>
      </w:r>
    </w:p>
    <w:p>
      <w:pPr>
        <w:pStyle w:val="1"/>
        <w:jc w:val="both"/>
      </w:pPr>
      <w:r>
        <w:rPr>
          <w:sz w:val="20"/>
        </w:rPr>
        <w:t xml:space="preserve">        фамилия, имя, отчество          год рождения</w:t>
      </w:r>
    </w:p>
    <w:p>
      <w:pPr>
        <w:pStyle w:val="1"/>
        <w:jc w:val="both"/>
      </w:pPr>
      <w:r>
        <w:rPr>
          <w:sz w:val="20"/>
        </w:rPr>
        <w:t xml:space="preserve">3. _________</w:t>
      </w:r>
    </w:p>
    <w:p>
      <w:pPr>
        <w:pStyle w:val="1"/>
        <w:jc w:val="both"/>
      </w:pPr>
      <w:r>
        <w:rPr>
          <w:sz w:val="20"/>
        </w:rPr>
        <w:t xml:space="preserve">     пол</w:t>
      </w:r>
    </w:p>
    <w:p>
      <w:pPr>
        <w:pStyle w:val="1"/>
        <w:jc w:val="both"/>
      </w:pPr>
      <w:r>
        <w:rPr>
          <w:sz w:val="20"/>
        </w:rPr>
        <w:t xml:space="preserve">4. ____________________________________</w:t>
      </w:r>
    </w:p>
    <w:p>
      <w:pPr>
        <w:pStyle w:val="1"/>
        <w:jc w:val="both"/>
      </w:pPr>
      <w:r>
        <w:rPr>
          <w:sz w:val="20"/>
        </w:rPr>
        <w:t xml:space="preserve">    должность, домашний адрес, телефон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Стаж работы с ионизирующим излучением 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Суммарная доза облучения на момент заполнения карты _______________________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25"/>
        <w:gridCol w:w="1815"/>
        <w:gridCol w:w="990"/>
        <w:gridCol w:w="990"/>
        <w:gridCol w:w="990"/>
        <w:gridCol w:w="990"/>
        <w:gridCol w:w="1980"/>
        <w:gridCol w:w="1980"/>
        <w:gridCol w:w="1650"/>
      </w:tblGrid>
      <w:tr>
        <w:tc>
          <w:tcPr>
            <w:tcW w:w="82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Год</w:t>
            </w:r>
          </w:p>
        </w:tc>
        <w:tc>
          <w:tcPr>
            <w:tcW w:w="181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Характер работы</w:t>
            </w:r>
          </w:p>
        </w:tc>
        <w:tc>
          <w:tcPr>
            <w:gridSpan w:val="4"/>
            <w:tcW w:w="39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Квартальные дозы облучения,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мЗв</w:t>
            </w:r>
          </w:p>
        </w:tc>
        <w:tc>
          <w:tcPr>
            <w:tcW w:w="19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Суммарная годовая доза, мЗв</w:t>
            </w:r>
          </w:p>
        </w:tc>
        <w:tc>
          <w:tcPr>
            <w:tcW w:w="19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Примечания</w:t>
            </w:r>
          </w:p>
        </w:tc>
        <w:tc>
          <w:tcPr>
            <w:tcW w:w="16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</w:t>
            </w:r>
          </w:p>
        </w:tc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</w:t>
            </w:r>
          </w:p>
        </w:tc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III</w:t>
            </w:r>
          </w:p>
        </w:tc>
        <w:tc>
          <w:tcPr>
            <w:tcW w:w="99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</w:t>
            </w:r>
          </w:p>
        </w:tc>
        <w:tc>
          <w:tcPr>
            <w:tcW w:w="1980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80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650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82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98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98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65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82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815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9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98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98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650" w:type="dxa"/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14"/>
          <w:headerReference w:type="first" r:id="rId14"/>
          <w:footerReference w:type="default" r:id="rId15"/>
          <w:footerReference w:type="first" r:id="rId1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(справочное)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НОРМАТИВНЫЕ ССЫЛКИ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Федеральный </w:t>
      </w:r>
      <w:hyperlink w:history="0" r:id="rId65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30 марта 1999 г. N 52-ФЗ "О санитарно-эпидемиологическом благополучии населения".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Федеральный </w:t>
      </w:r>
      <w:hyperlink w:history="0" r:id="rId66" w:tooltip="Федеральный закон от 09.01.1996 N 3-ФЗ (ред. от 31.07.2025) &quot;О радиационной безопасности населения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09.01.1996 N 3-ФЗ "О радиационной безопасности населения".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67" w:tooltip="Постановление Главного государственного санитарного врача РФ от 07.07.2009 N 47 &quot;Об утверждении СанПиН 2.6.1.2523-09&quot; (вместе с &quot;НРБ-99/2009. СанПиН 2.6.1.2523-09. Нормы радиационной безопасности. Санитарные правила и нормативы&quot;) (Зарегистрировано в Минюсте РФ 14.08.2009 N 14534) {КонсультантПлюс}">
        <w:r>
          <w:rPr>
            <w:sz w:val="24"/>
            <w:color w:val="0000ff"/>
          </w:rPr>
          <w:t xml:space="preserve">СанПиН 2.6.1.2523-09</w:t>
        </w:r>
      </w:hyperlink>
      <w:r>
        <w:rPr>
          <w:sz w:val="24"/>
        </w:rPr>
        <w:t xml:space="preserve"> "Нормы радиационной безопасности (НРБ-99/2009)".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</w:t>
      </w:r>
      <w:hyperlink w:history="0" r:id="rId68" w:tooltip="Постановление Главного государственного санитарного врача РФ от 26.04.2010 N 40 (ред. от 16.09.2013) &quot;Об утверждении СП 2.6.1.2612-10 &quot;Основные санитарные правила обеспечения радиационной безопасности (ОСПОРБ-99/2010)&quot; (вместе с &quot;СП 2.6.1.2612-10. ОСПОРБ-99/2010. Санитарные правила и нормативы...&quot;) (Зарегистрировано в Минюсте России 11.08.2010 N 18115) {КонсультантПлюс}">
        <w:r>
          <w:rPr>
            <w:sz w:val="24"/>
            <w:color w:val="0000ff"/>
          </w:rPr>
          <w:t xml:space="preserve">СП 2.6.1.2612-10</w:t>
        </w:r>
      </w:hyperlink>
      <w:r>
        <w:rPr>
          <w:sz w:val="24"/>
        </w:rPr>
        <w:t xml:space="preserve"> "Основные санитарные правила обеспечения радиационной безопасности (ОСПОРБ-99/2010)".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</w:t>
      </w:r>
      <w:hyperlink w:history="0" r:id="rId69" w:tooltip="Постановление Главного государственного санитарного врача РФ от 18.02.2003 N 8 &quot;О введении в действие СанПиН 2.6.1.1192-03&quot; (вместе с &quot;СанПиН 2.6.1.1192-03. 2.6.1. Ионизирующее излучение, радиационная безопасность. Гигиенические требования к устройству и эксплуатации рентгеновских кабинетов, аппаратов и проведению рентгенологических исследований. Санитарные правила и нормативы&quot;, утв. Главным государственным санитарным врачом РФ 14.02.2003) (Зарегистрировано в Минюсте РФ 19.03.2003 N 4282) ------------ Утратил силу или отменен {КонсультантПлюс}">
        <w:r>
          <w:rPr>
            <w:sz w:val="24"/>
            <w:color w:val="0000ff"/>
          </w:rPr>
          <w:t xml:space="preserve">СанПиН 2.6.1.1192-03</w:t>
        </w:r>
      </w:hyperlink>
      <w:r>
        <w:rPr>
          <w:sz w:val="24"/>
        </w:rPr>
        <w:t xml:space="preserve"> "Гигиенические требования к устройству и эксплуатации рентгеновских кабинетов, аппаратов и проведению рентгенологических исследований".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</w:t>
      </w:r>
      <w:hyperlink w:history="0" r:id="rId70" w:tooltip="&quot;МУ 2.6.1.1892-04. 2.6.1. Ионизирующее излучение, радиационная безопасность. Гигиенические требования по обеспечению радиационной безопасности при проведении радионуклидной диагностики с помощью радиофармпрепаратов. Методические указания&quot; (утв. Главным государственным санитарным врачом РФ 04.03.2004) {КонсультантПлюс}">
        <w:r>
          <w:rPr>
            <w:sz w:val="24"/>
            <w:color w:val="0000ff"/>
          </w:rPr>
          <w:t xml:space="preserve">МУ 2.6.1.1892-04</w:t>
        </w:r>
      </w:hyperlink>
      <w:r>
        <w:rPr>
          <w:sz w:val="24"/>
        </w:rPr>
        <w:t xml:space="preserve"> "Гигиенические требования по обеспечению радиационной безопасности при проведении радионуклидной диагностики с помощью радиофармпрепаратов".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</w:t>
      </w:r>
      <w:hyperlink w:history="0" r:id="rId71" w:tooltip="&quot;МУ 2.6.1.1798-03. 2.6.1. Ионизирующее излучение, радиационная безопасность. Оценка, учет и контроль эффективных доз облучения пациентов при проведении радионуклидных диагностических исследований. Методические указания&quot; (утв. Минздравом России 16.12.2003) ------------ Утратил силу или отменен {КонсультантПлюс}">
        <w:r>
          <w:rPr>
            <w:sz w:val="24"/>
            <w:color w:val="0000ff"/>
          </w:rPr>
          <w:t xml:space="preserve">МУ 2.6.1.1798-03</w:t>
        </w:r>
      </w:hyperlink>
      <w:r>
        <w:rPr>
          <w:sz w:val="24"/>
        </w:rPr>
        <w:t xml:space="preserve"> "Оценка, учет и контроль эффективных доз облучения пациентов при проведении радионуклидных диагностических исследований".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МУ 2.6.1.16-2000 "Определение индивидуальных эффективных и эквивалентных доз и организация контроля профессионального облучения в контролируемых условиях обращения с источниками излучения. Общие требования".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</w:t>
      </w:r>
      <w:hyperlink w:history="0" r:id="rId72" w:tooltip="&quot;МУ 2.6.1.25-2000. 2.6.1. Ионизирующее излучение, радиационная безопасность. Дозиметрический контроль внешнего профессионального облучения. Общие требования. Методические указания&quot; (утв. Минатомом России 27.09.2000 и Минздравом России 28.09.2000) ------------ Утратил силу или отменен {КонсультантПлюс}">
        <w:r>
          <w:rPr>
            <w:sz w:val="24"/>
            <w:color w:val="0000ff"/>
          </w:rPr>
          <w:t xml:space="preserve">МУ 2.6.1.25-2000</w:t>
        </w:r>
      </w:hyperlink>
      <w:r>
        <w:rPr>
          <w:sz w:val="24"/>
        </w:rPr>
        <w:t xml:space="preserve"> "Дозиметрический контроль внешнего профессионального облучения. Общие требования".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МУ 2.6.1.1182-05 "Проведение радиационного контроля в рентгеновских кабинетах".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</w:t>
      </w:r>
      <w:hyperlink w:history="0" r:id="rId73" w:tooltip="&quot;МУ 2.6.1.2500-09. 2.6.1. Ионизирующее излучение, радиационная безопасность. Организация надзора за обеспечением радиационной безопасности и проведение радиационного контроля в подразделении радионуклидной диагностики. Методические указания&quot; (утв. Роспотребнадзором 23.04.2009) {КонсультантПлюс}">
        <w:r>
          <w:rPr>
            <w:sz w:val="24"/>
            <w:color w:val="0000ff"/>
          </w:rPr>
          <w:t xml:space="preserve">МУ 2.6.1.2500-09</w:t>
        </w:r>
      </w:hyperlink>
      <w:r>
        <w:rPr>
          <w:sz w:val="24"/>
        </w:rPr>
        <w:t xml:space="preserve"> "Организация надзора за обеспечением радиационной безопасности и проведение радиационного контроля в подразделении радионуклидной диагностики".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5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(справочное)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ТЕРМИНЫ И ОПРЕДЕЛЕНИЯ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Величина нормируемая - величина, являющаяся мерой ущерба (вреда) от воздействия ионизирующего излучения на человека и его потомков.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Величина операционная - величина, однозначно определяемая через физические характеристики поля излучения в точке, максимально возможно приближенная в стандартных условиях облучения к величине, нормируемой в целях ограничения облучения, и предназначенная для консервативной оценки этой величины при дозиметрическом контроле.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Геометрия облучения - виды наиболее вероятных полей излучения, падающих на тело человека: изотропное (</w:t>
      </w:r>
      <w:r>
        <w:rPr>
          <w:position w:val="-4"/>
        </w:rPr>
        <w:drawing>
          <wp:inline distT="0" distB="0" distL="0" distR="0">
            <wp:extent cx="278765" cy="2063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или </w:t>
      </w:r>
      <w:r>
        <w:rPr>
          <w:position w:val="-4"/>
        </w:rPr>
        <w:drawing>
          <wp:inline distT="0" distB="0" distL="0" distR="0">
            <wp:extent cx="278765" cy="2063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) поле излучения и параллельный пучок излучения, падающий на тело спереди (передне-задняя (ПЗ) геометрия).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Детектор - чувствительный элемент, предназначенный для преобразования энергии ионизирующего излучения в другой вид энергии, удобный для индикации, последующей регистрации и/или измерения.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Дозиметр (краткая форма термина дозиметрический прибор) - прибор или установка для измерения дозы ионизирующего излучения или мощности дозы излучения, и/или энергии, переносимой ионизирующим излучением или переданной им объекту, находящемуся в поле действия излучения.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Дозиметр индивидуальный - прибор для измерения дозы и/или мощности дозы ионизирующего излучения и/или энергии, переносимой ионизирующим излучением или переданной им всему телу человека, определенному органу или ткани человеческого тела, находящимся в поле его действия. Габаритные размеры и масса индивидуального дозиметра позволяют, не затрудняя выполнение производственных операций, применять его для ношения человеком с целью получения дозиметрической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Контроль дозиметрический (ДК) - контроль облучения персонала, заключающийся в определении индивидуальных доз облучения работников и/или мощности дозы на рабочих местах, обусловленных обращением с техногенными источниками ионизирующего излучения. Включает групповой и/или индивидуальный дозиметрический контроль.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Контроль дозиметрический групповой (ГДК) - контроль облучения персонала, заключающийся в определении индивидуальных доз облучения работников на основании результатов измерений характеристик радиационной обстановки (мощности дозы) в рабочем помещении (на рабочих местах) с учетом времени пребывания там персонала.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Контроль дозиметрический индивидуальный (ИДК) - контроль облучения персонала, заключающийся в определении индивидуальных доз облучения работника на основании результатов индивидуальных измерений характеристик облучения тела или отдельных органов каждого работника.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Период контроля - промежуток времени между последовательными измерениями характеристик радиационной обстановки в рабочем помещении (на рабочих местах) при проведении ГДК; либо между последовательными индивидуальными измерениями характеристик облучения каждого работника при проведении ИДК.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Работник стандартный - воображаемый человек, обладающий биологическими и физическими свойствами, присущими среднестатистическому здоровому взрослому человеку. Свойства стандартного работника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антропометрические характеристики тела, отдельных органов и тканей;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характеристики физиологических показателей;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параметры биокинетики химических элементов в органах и тканях человека, рекомендованные МКРЗ и использованные при определении значений допустимых уровней облучения, установленных нормами.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Условия облучения стандартные - в данных МУ характеризуются временем облучения в течение календарного года, равным 1 700 ч для персонала группы А и 2 000 ч - для персонала группы Б.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Амбиентный эквивалент дозы (амбиентная доза) (</w:t>
      </w:r>
      <w:r>
        <w:rPr>
          <w:position w:val="-10"/>
        </w:rPr>
        <w:drawing>
          <wp:inline distT="0" distB="0" distL="0" distR="0">
            <wp:extent cx="467995" cy="2800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) - эквивалент дозы, который был бы создан в шаровом фантоме МКРЕ на глубине d (мм) от поверхности по диаметру, параллельному направлению излучения, в поле излучения, идентичном рассматриваемому по составу, флюенсу и энергетическому распределению, но мононаправленному и однородному. Амбиентный эквивалент дозы используется для характеристики поля излучения в точке, совпадающей с центром шарового фантома.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Индивидуальный эквивалент дозы </w:t>
      </w:r>
      <w:r>
        <w:rPr>
          <w:position w:val="-15"/>
        </w:rPr>
        <w:drawing>
          <wp:inline distT="0" distB="0" distL="0" distR="0">
            <wp:extent cx="663575" cy="3517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- эквивалент дозы в мягкой биологической ткани, определяемый на глубине d (мм) под рассматриваемой точкой на теле.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"МУ 2.6.1.3015-12. 2.6.1. Ионизирующее излучение, радиационная безопасность. Организация и проведение индивидуального до...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"МУ 2.6.1.3015-12. 2.6.1. Ионизирующее излучение, радиационная безопасность. Организация и проведение индивидуального до...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97092&amp;date=20.07.2026&amp;dst=100011&amp;field=134" TargetMode = "External"/><Relationship Id="rId9" Type="http://schemas.openxmlformats.org/officeDocument/2006/relationships/hyperlink" Target="https://login.consultant.ru/link/?req=doc&amp;base=OTN&amp;n=21063&amp;date=20.07.2026" TargetMode = "External"/><Relationship Id="rId10" Type="http://schemas.openxmlformats.org/officeDocument/2006/relationships/hyperlink" Target="https://login.consultant.ru/link/?req=doc&amp;base=LAW&amp;n=90936&amp;date=20.07.2026&amp;dst=100015&amp;field=134" TargetMode = "External"/><Relationship Id="rId11" Type="http://schemas.openxmlformats.org/officeDocument/2006/relationships/hyperlink" Target="https://login.consultant.ru/link/?req=doc&amp;base=LAW&amp;n=154412&amp;date=20.07.2026&amp;dst=100012&amp;field=134" TargetMode = "External"/><Relationship Id="rId12" Type="http://schemas.openxmlformats.org/officeDocument/2006/relationships/hyperlink" Target="https://login.consultant.ru/link/?req=doc&amp;base=LAW&amp;n=90936&amp;date=20.07.2026&amp;dst=100015&amp;field=134" TargetMode = "External"/><Relationship Id="rId13" Type="http://schemas.openxmlformats.org/officeDocument/2006/relationships/hyperlink" Target="https://login.consultant.ru/link/?req=doc&amp;base=LAW&amp;n=154412&amp;date=20.07.2026&amp;dst=100012&amp;field=134" TargetMode = "Externa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hyperlink" Target="https://login.consultant.ru/link/?req=doc&amp;base=LAW&amp;n=90936&amp;date=20.07.2026&amp;dst=100017&amp;field=134" TargetMode = "External"/><Relationship Id="rId17" Type="http://schemas.openxmlformats.org/officeDocument/2006/relationships/hyperlink" Target="https://login.consultant.ru/link/?req=doc&amp;base=LAW&amp;n=154412&amp;date=20.07.2026&amp;dst=100013&amp;field=134" TargetMode = "External"/><Relationship Id="rId18" Type="http://schemas.openxmlformats.org/officeDocument/2006/relationships/hyperlink" Target="https://login.consultant.ru/link/?req=doc&amp;base=LAW&amp;n=90936&amp;date=20.07.2026&amp;dst=100017&amp;field=134" TargetMode = "External"/><Relationship Id="rId19" Type="http://schemas.openxmlformats.org/officeDocument/2006/relationships/hyperlink" Target="https://login.consultant.ru/link/?req=doc&amp;base=LAW&amp;n=154412&amp;date=20.07.2026&amp;dst=100013&amp;field=134" TargetMode = "External"/><Relationship Id="rId20" Type="http://schemas.openxmlformats.org/officeDocument/2006/relationships/image" Target="media/image2.wmf"/><Relationship Id="rId21" Type="http://schemas.openxmlformats.org/officeDocument/2006/relationships/image" Target="media/image3.wmf"/><Relationship Id="rId22" Type="http://schemas.openxmlformats.org/officeDocument/2006/relationships/image" Target="media/image4.wmf"/><Relationship Id="rId23" Type="http://schemas.openxmlformats.org/officeDocument/2006/relationships/hyperlink" Target="https://login.consultant.ru/link/?req=doc&amp;base=LAW&amp;n=41439&amp;date=20.07.2026&amp;dst=100740&amp;field=134" TargetMode = "External"/><Relationship Id="rId24" Type="http://schemas.openxmlformats.org/officeDocument/2006/relationships/image" Target="media/image5.wmf"/><Relationship Id="rId25" Type="http://schemas.openxmlformats.org/officeDocument/2006/relationships/image" Target="media/image6.wmf"/><Relationship Id="rId26" Type="http://schemas.openxmlformats.org/officeDocument/2006/relationships/hyperlink" Target="https://login.consultant.ru/link/?req=doc&amp;base=LAW&amp;n=41439&amp;date=20.07.2026&amp;dst=100017&amp;field=134" TargetMode = "External"/><Relationship Id="rId27" Type="http://schemas.openxmlformats.org/officeDocument/2006/relationships/hyperlink" Target="https://login.consultant.ru/link/?req=doc&amp;base=LAW&amp;n=41439&amp;date=20.07.2026&amp;dst=100740&amp;field=134" TargetMode = "External"/><Relationship Id="rId28" Type="http://schemas.openxmlformats.org/officeDocument/2006/relationships/image" Target="media/image7.wmf"/><Relationship Id="rId29" Type="http://schemas.openxmlformats.org/officeDocument/2006/relationships/image" Target="media/image8.wmf"/><Relationship Id="rId30" Type="http://schemas.openxmlformats.org/officeDocument/2006/relationships/image" Target="media/image9.wmf"/><Relationship Id="rId31" Type="http://schemas.openxmlformats.org/officeDocument/2006/relationships/image" Target="media/image10.wmf"/><Relationship Id="rId32" Type="http://schemas.openxmlformats.org/officeDocument/2006/relationships/image" Target="media/image11.wmf"/><Relationship Id="rId33" Type="http://schemas.openxmlformats.org/officeDocument/2006/relationships/image" Target="media/image12.wmf"/><Relationship Id="rId34" Type="http://schemas.openxmlformats.org/officeDocument/2006/relationships/image" Target="media/image13.wmf"/><Relationship Id="rId35" Type="http://schemas.openxmlformats.org/officeDocument/2006/relationships/image" Target="media/image14.wmf"/><Relationship Id="rId36" Type="http://schemas.openxmlformats.org/officeDocument/2006/relationships/image" Target="media/image15.wmf"/><Relationship Id="rId37" Type="http://schemas.openxmlformats.org/officeDocument/2006/relationships/image" Target="media/image16.wmf"/><Relationship Id="rId38" Type="http://schemas.openxmlformats.org/officeDocument/2006/relationships/hyperlink" Target="https://login.consultant.ru/link/?req=doc&amp;base=LAW&amp;n=41439&amp;date=20.07.2026&amp;dst=100017&amp;field=134" TargetMode = "External"/><Relationship Id="rId39" Type="http://schemas.openxmlformats.org/officeDocument/2006/relationships/image" Target="media/image17.wmf"/><Relationship Id="rId40" Type="http://schemas.openxmlformats.org/officeDocument/2006/relationships/image" Target="media/image18.wmf"/><Relationship Id="rId41" Type="http://schemas.openxmlformats.org/officeDocument/2006/relationships/image" Target="media/image19.wmf"/><Relationship Id="rId42" Type="http://schemas.openxmlformats.org/officeDocument/2006/relationships/image" Target="media/image20.wmf"/><Relationship Id="rId43" Type="http://schemas.openxmlformats.org/officeDocument/2006/relationships/image" Target="media/image21.wmf"/><Relationship Id="rId44" Type="http://schemas.openxmlformats.org/officeDocument/2006/relationships/image" Target="media/image22.wmf"/><Relationship Id="rId45" Type="http://schemas.openxmlformats.org/officeDocument/2006/relationships/image" Target="media/image23.wmf"/><Relationship Id="rId46" Type="http://schemas.openxmlformats.org/officeDocument/2006/relationships/image" Target="media/image24.wmf"/><Relationship Id="rId47" Type="http://schemas.openxmlformats.org/officeDocument/2006/relationships/image" Target="media/image25.wmf"/><Relationship Id="rId48" Type="http://schemas.openxmlformats.org/officeDocument/2006/relationships/hyperlink" Target="https://login.consultant.ru/link/?req=doc&amp;base=OTN&amp;n=1078&amp;date=20.07.2026" TargetMode = "External"/><Relationship Id="rId49" Type="http://schemas.openxmlformats.org/officeDocument/2006/relationships/image" Target="media/image26.wmf"/><Relationship Id="rId50" Type="http://schemas.openxmlformats.org/officeDocument/2006/relationships/image" Target="media/image27.wmf"/><Relationship Id="rId51" Type="http://schemas.openxmlformats.org/officeDocument/2006/relationships/image" Target="media/image28.wmf"/><Relationship Id="rId52" Type="http://schemas.openxmlformats.org/officeDocument/2006/relationships/image" Target="media/image29.wmf"/><Relationship Id="rId53" Type="http://schemas.openxmlformats.org/officeDocument/2006/relationships/image" Target="media/image30.wmf"/><Relationship Id="rId54" Type="http://schemas.openxmlformats.org/officeDocument/2006/relationships/image" Target="media/image31.wmf"/><Relationship Id="rId55" Type="http://schemas.openxmlformats.org/officeDocument/2006/relationships/image" Target="media/image32.wmf"/><Relationship Id="rId56" Type="http://schemas.openxmlformats.org/officeDocument/2006/relationships/image" Target="media/image33.wmf"/><Relationship Id="rId57" Type="http://schemas.openxmlformats.org/officeDocument/2006/relationships/hyperlink" Target="https://login.consultant.ru/link/?req=doc&amp;base=LAW&amp;n=154412&amp;date=20.07.2026&amp;dst=100476&amp;field=134" TargetMode = "External"/><Relationship Id="rId58" Type="http://schemas.openxmlformats.org/officeDocument/2006/relationships/hyperlink" Target="https://login.consultant.ru/link/?req=doc&amp;base=LAW&amp;n=433501&amp;date=20.07.2026&amp;dst=101172&amp;field=134" TargetMode = "External"/><Relationship Id="rId59" Type="http://schemas.openxmlformats.org/officeDocument/2006/relationships/hyperlink" Target="https://login.consultant.ru/link/?req=doc&amp;base=LAW&amp;n=40541&amp;date=20.07.2026&amp;dst=100100&amp;field=134" TargetMode = "External"/><Relationship Id="rId60" Type="http://schemas.openxmlformats.org/officeDocument/2006/relationships/hyperlink" Target="https://login.consultant.ru/link/?req=doc&amp;base=LAW&amp;n=197092&amp;date=20.07.2026&amp;dst=100013&amp;field=134" TargetMode = "External"/><Relationship Id="rId61" Type="http://schemas.openxmlformats.org/officeDocument/2006/relationships/hyperlink" Target="https://login.consultant.ru/link/?req=doc&amp;base=LAW&amp;n=90936&amp;date=20.07.2026&amp;dst=100017&amp;field=134" TargetMode = "External"/><Relationship Id="rId62" Type="http://schemas.openxmlformats.org/officeDocument/2006/relationships/hyperlink" Target="https://login.consultant.ru/link/?req=doc&amp;base=LAW&amp;n=154412&amp;date=20.07.2026&amp;dst=100013&amp;field=134" TargetMode = "External"/><Relationship Id="rId63" Type="http://schemas.openxmlformats.org/officeDocument/2006/relationships/image" Target="media/image34.wmf"/><Relationship Id="rId64" Type="http://schemas.openxmlformats.org/officeDocument/2006/relationships/image" Target="media/image35.wmf"/><Relationship Id="rId65" Type="http://schemas.openxmlformats.org/officeDocument/2006/relationships/hyperlink" Target="https://login.consultant.ru/link/?req=doc&amp;base=LAW&amp;n=511660&amp;date=20.07.2026" TargetMode = "External"/><Relationship Id="rId66" Type="http://schemas.openxmlformats.org/officeDocument/2006/relationships/hyperlink" Target="https://login.consultant.ru/link/?req=doc&amp;base=LAW&amp;n=511735&amp;date=20.07.2026" TargetMode = "External"/><Relationship Id="rId67" Type="http://schemas.openxmlformats.org/officeDocument/2006/relationships/hyperlink" Target="https://login.consultant.ru/link/?req=doc&amp;base=LAW&amp;n=90936&amp;date=20.07.2026&amp;dst=100017&amp;field=134" TargetMode = "External"/><Relationship Id="rId68" Type="http://schemas.openxmlformats.org/officeDocument/2006/relationships/hyperlink" Target="https://login.consultant.ru/link/?req=doc&amp;base=LAW&amp;n=154412&amp;date=20.07.2026&amp;dst=100013&amp;field=134" TargetMode = "External"/><Relationship Id="rId69" Type="http://schemas.openxmlformats.org/officeDocument/2006/relationships/hyperlink" Target="https://login.consultant.ru/link/?req=doc&amp;base=LAW&amp;n=41439&amp;date=20.07.2026&amp;dst=100017&amp;field=134" TargetMode = "External"/><Relationship Id="rId70" Type="http://schemas.openxmlformats.org/officeDocument/2006/relationships/hyperlink" Target="https://login.consultant.ru/link/?req=doc&amp;base=LAW&amp;n=100461&amp;date=20.07.2026" TargetMode = "External"/><Relationship Id="rId71" Type="http://schemas.openxmlformats.org/officeDocument/2006/relationships/hyperlink" Target="https://login.consultant.ru/link/?req=doc&amp;base=OTN&amp;n=22007&amp;date=20.07.2026" TargetMode = "External"/><Relationship Id="rId72" Type="http://schemas.openxmlformats.org/officeDocument/2006/relationships/hyperlink" Target="https://login.consultant.ru/link/?req=doc&amp;base=OTN&amp;n=1078&amp;date=20.07.2026" TargetMode = "External"/><Relationship Id="rId73" Type="http://schemas.openxmlformats.org/officeDocument/2006/relationships/hyperlink" Target="https://login.consultant.ru/link/?req=doc&amp;base=LAW&amp;n=130014&amp;date=20.07.2026" TargetMode = "External"/><Relationship Id="rId74" Type="http://schemas.openxmlformats.org/officeDocument/2006/relationships/image" Target="media/image36.wmf"/><Relationship Id="rId75" Type="http://schemas.openxmlformats.org/officeDocument/2006/relationships/image" Target="media/image37.wmf"/><Relationship Id="rId76" Type="http://schemas.openxmlformats.org/officeDocument/2006/relationships/image" Target="media/image38.wmf"/><Relationship Id="rId77" Type="http://schemas.openxmlformats.org/officeDocument/2006/relationships/image" Target="media/image39.wmf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"МУ 2.6.1.3015-12. 2.6.1. Ионизирующее излучение, радиационная безопасность. Организация и проведение индивидуального дозиметрического контроля. Персонал медицинских организаций. Методические указания"
(утв. Главным государственным санитарным врачом РФ 19.04.2012)
(ред. от 20.05.2015)</dc:title>
  <dcterms:created xsi:type="dcterms:W3CDTF">2026-07-20T09:10:55Z</dcterms:created>
</cp:coreProperties>
</file>