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53" w:rsidRDefault="00E37B53" w:rsidP="00E50253">
      <w:pPr>
        <w:pStyle w:val="Heading2"/>
        <w:shd w:val="clear" w:color="auto" w:fill="FFFFFF"/>
        <w:spacing w:before="0" w:after="255" w:line="300" w:lineRule="atLeast"/>
        <w:rPr>
          <w:rFonts w:ascii="Arial" w:hAnsi="Arial" w:cs="Arial"/>
          <w:color w:val="4D4D4D"/>
          <w:sz w:val="27"/>
          <w:szCs w:val="27"/>
        </w:rPr>
      </w:pPr>
      <w:r>
        <w:rPr>
          <w:rFonts w:ascii="Arial" w:hAnsi="Arial" w:cs="Arial"/>
          <w:color w:val="4D4D4D"/>
          <w:sz w:val="27"/>
          <w:szCs w:val="27"/>
        </w:rPr>
        <w:t xml:space="preserve">Постановление Правительства РФ от 15 сентября </w:t>
      </w:r>
      <w:smartTag w:uri="urn:schemas-microsoft-com:office:smarttags" w:element="metricconverter">
        <w:smartTagPr>
          <w:attr w:name="ProductID" w:val="2020 г"/>
        </w:smartTagPr>
        <w:r>
          <w:rPr>
            <w:rFonts w:ascii="Arial" w:hAnsi="Arial" w:cs="Arial"/>
            <w:color w:val="4D4D4D"/>
            <w:sz w:val="27"/>
            <w:szCs w:val="27"/>
          </w:rPr>
          <w:t>2020 г</w:t>
        </w:r>
      </w:smartTag>
      <w:r>
        <w:rPr>
          <w:rFonts w:ascii="Arial" w:hAnsi="Arial" w:cs="Arial"/>
          <w:color w:val="4D4D4D"/>
          <w:sz w:val="27"/>
          <w:szCs w:val="27"/>
        </w:rPr>
        <w:t>. № 1445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37B53" w:rsidRDefault="00E37B53" w:rsidP="00E50253">
      <w:pPr>
        <w:shd w:val="clear" w:color="auto" w:fill="FFFFFF"/>
        <w:rPr>
          <w:rFonts w:ascii="Arial" w:hAnsi="Arial" w:cs="Arial"/>
          <w:color w:val="333333"/>
          <w:sz w:val="21"/>
          <w:szCs w:val="21"/>
        </w:rPr>
      </w:pPr>
      <w:r>
        <w:rPr>
          <w:rFonts w:ascii="Arial" w:hAnsi="Arial" w:cs="Arial"/>
          <w:color w:val="333333"/>
          <w:sz w:val="21"/>
          <w:szCs w:val="21"/>
        </w:rPr>
        <w:t>23 сентября 2020</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bookmarkStart w:id="0" w:name="0"/>
      <w:bookmarkEnd w:id="0"/>
      <w:r>
        <w:rPr>
          <w:rFonts w:ascii="Arial" w:hAnsi="Arial" w:cs="Arial"/>
          <w:color w:val="333333"/>
          <w:sz w:val="23"/>
          <w:szCs w:val="23"/>
        </w:rPr>
        <w:t>В соответствии с Федеральным законом "О лицензировании отдельных видов деятельности" Правительство Российской Федерации постановляет:</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Утвердить прилагаемое </w:t>
      </w:r>
      <w:hyperlink r:id="rId5" w:anchor="1000" w:history="1">
        <w:r>
          <w:rPr>
            <w:rStyle w:val="Hyperlink"/>
            <w:rFonts w:ascii="Arial" w:hAnsi="Arial" w:cs="Arial"/>
            <w:color w:val="808080"/>
            <w:sz w:val="23"/>
            <w:szCs w:val="23"/>
            <w:bdr w:val="none" w:sz="0" w:space="0" w:color="auto" w:frame="1"/>
          </w:rPr>
          <w:t>Положение</w:t>
        </w:r>
      </w:hyperlink>
      <w:r>
        <w:rPr>
          <w:rFonts w:ascii="Arial" w:hAnsi="Arial" w:cs="Arial"/>
          <w:color w:val="333333"/>
          <w:sz w:val="23"/>
          <w:szCs w:val="23"/>
        </w:rPr>
        <w:t>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выданные до </w:t>
      </w:r>
      <w:hyperlink r:id="rId6" w:anchor="4" w:history="1">
        <w:r>
          <w:rPr>
            <w:rStyle w:val="Hyperlink"/>
            <w:rFonts w:ascii="Arial" w:hAnsi="Arial" w:cs="Arial"/>
            <w:color w:val="808080"/>
            <w:sz w:val="23"/>
            <w:szCs w:val="23"/>
            <w:bdr w:val="none" w:sz="0" w:space="0" w:color="auto" w:frame="1"/>
          </w:rPr>
          <w:t>вступления в силу</w:t>
        </w:r>
      </w:hyperlink>
      <w:r>
        <w:rPr>
          <w:rFonts w:ascii="Arial" w:hAnsi="Arial" w:cs="Arial"/>
          <w:color w:val="333333"/>
          <w:sz w:val="23"/>
          <w:szCs w:val="23"/>
        </w:rPr>
        <w:t> настоящего постановления, подлежат переоформлению в соответствии с требованиями </w:t>
      </w:r>
      <w:hyperlink r:id="rId7" w:anchor="1000" w:history="1">
        <w:r>
          <w:rPr>
            <w:rStyle w:val="Hyperlink"/>
            <w:rFonts w:ascii="Arial" w:hAnsi="Arial" w:cs="Arial"/>
            <w:color w:val="808080"/>
            <w:sz w:val="23"/>
            <w:szCs w:val="23"/>
            <w:bdr w:val="none" w:sz="0" w:space="0" w:color="auto" w:frame="1"/>
          </w:rPr>
          <w:t>Положения</w:t>
        </w:r>
      </w:hyperlink>
      <w:r>
        <w:rPr>
          <w:rFonts w:ascii="Arial" w:hAnsi="Arial" w:cs="Arial"/>
          <w:color w:val="333333"/>
          <w:sz w:val="23"/>
          <w:szCs w:val="23"/>
        </w:rPr>
        <w:t xml:space="preserve">, утвержденного настоящим постановлением, до 31 декабря </w:t>
      </w:r>
      <w:smartTag w:uri="urn:schemas-microsoft-com:office:smarttags" w:element="metricconverter">
        <w:smartTagPr>
          <w:attr w:name="ProductID" w:val="2023 г"/>
        </w:smartTagPr>
        <w:r>
          <w:rPr>
            <w:rFonts w:ascii="Arial" w:hAnsi="Arial" w:cs="Arial"/>
            <w:color w:val="333333"/>
            <w:sz w:val="23"/>
            <w:szCs w:val="23"/>
          </w:rPr>
          <w:t>2023 г</w:t>
        </w:r>
      </w:smartTag>
      <w:r>
        <w:rPr>
          <w:rFonts w:ascii="Arial" w:hAnsi="Arial" w:cs="Arial"/>
          <w:color w:val="333333"/>
          <w:sz w:val="23"/>
          <w:szCs w:val="23"/>
        </w:rPr>
        <w:t>.</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 Федеральной службе по надзору в сфере здравоохранения до 1 июля </w:t>
      </w:r>
      <w:smartTag w:uri="urn:schemas-microsoft-com:office:smarttags" w:element="metricconverter">
        <w:smartTagPr>
          <w:attr w:name="ProductID" w:val="2021 г"/>
        </w:smartTagPr>
        <w:r>
          <w:rPr>
            <w:rFonts w:ascii="Arial" w:hAnsi="Arial" w:cs="Arial"/>
            <w:color w:val="333333"/>
            <w:sz w:val="23"/>
            <w:szCs w:val="23"/>
          </w:rPr>
          <w:t>2021 г</w:t>
        </w:r>
      </w:smartTag>
      <w:r>
        <w:rPr>
          <w:rFonts w:ascii="Arial" w:hAnsi="Arial" w:cs="Arial"/>
          <w:color w:val="333333"/>
          <w:sz w:val="23"/>
          <w:szCs w:val="23"/>
        </w:rPr>
        <w:t>. актуализировать данные реестровых записей единого реестра лицензий, содержащих сведения о производстве и техническом обслуживании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которые в соответствии с </w:t>
      </w:r>
      <w:hyperlink r:id="rId8" w:anchor="1000" w:history="1">
        <w:r>
          <w:rPr>
            <w:rStyle w:val="Hyperlink"/>
            <w:rFonts w:ascii="Arial" w:hAnsi="Arial" w:cs="Arial"/>
            <w:color w:val="808080"/>
            <w:sz w:val="23"/>
            <w:szCs w:val="23"/>
            <w:bdr w:val="none" w:sz="0" w:space="0" w:color="auto" w:frame="1"/>
          </w:rPr>
          <w:t>Положением</w:t>
        </w:r>
      </w:hyperlink>
      <w:r>
        <w:rPr>
          <w:rFonts w:ascii="Arial" w:hAnsi="Arial" w:cs="Arial"/>
          <w:color w:val="333333"/>
          <w:sz w:val="23"/>
          <w:szCs w:val="23"/>
        </w:rPr>
        <w:t>, утвержденным настоящим постановлением, не требуют получения лицензии.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4. Настоящее постановление вступает в силу с 1 января </w:t>
      </w:r>
      <w:smartTag w:uri="urn:schemas-microsoft-com:office:smarttags" w:element="metricconverter">
        <w:smartTagPr>
          <w:attr w:name="ProductID" w:val="2021 г"/>
        </w:smartTagPr>
        <w:r>
          <w:rPr>
            <w:rFonts w:ascii="Arial" w:hAnsi="Arial" w:cs="Arial"/>
            <w:color w:val="333333"/>
            <w:sz w:val="23"/>
            <w:szCs w:val="23"/>
          </w:rPr>
          <w:t>2021 г</w:t>
        </w:r>
      </w:smartTag>
      <w:r>
        <w:rPr>
          <w:rFonts w:ascii="Arial" w:hAnsi="Arial" w:cs="Arial"/>
          <w:color w:val="333333"/>
          <w:sz w:val="23"/>
          <w:szCs w:val="23"/>
        </w:rPr>
        <w:t xml:space="preserve">. и действует до 1 января </w:t>
      </w:r>
      <w:smartTag w:uri="urn:schemas-microsoft-com:office:smarttags" w:element="metricconverter">
        <w:smartTagPr>
          <w:attr w:name="ProductID" w:val="2027 г"/>
        </w:smartTagPr>
        <w:r>
          <w:rPr>
            <w:rFonts w:ascii="Arial" w:hAnsi="Arial" w:cs="Arial"/>
            <w:color w:val="333333"/>
            <w:sz w:val="23"/>
            <w:szCs w:val="23"/>
          </w:rPr>
          <w:t>2027 г</w:t>
        </w:r>
      </w:smartTag>
      <w:r>
        <w:rPr>
          <w:rFonts w:ascii="Arial" w:hAnsi="Arial" w:cs="Arial"/>
          <w:color w:val="333333"/>
          <w:sz w:val="23"/>
          <w:szCs w:val="23"/>
        </w:rPr>
        <w:t>.</w:t>
      </w:r>
    </w:p>
    <w:tbl>
      <w:tblPr>
        <w:tblW w:w="0" w:type="auto"/>
        <w:tblCellMar>
          <w:top w:w="15" w:type="dxa"/>
          <w:left w:w="15" w:type="dxa"/>
          <w:bottom w:w="15" w:type="dxa"/>
          <w:right w:w="15" w:type="dxa"/>
        </w:tblCellMar>
        <w:tblLook w:val="0000"/>
      </w:tblPr>
      <w:tblGrid>
        <w:gridCol w:w="2787"/>
        <w:gridCol w:w="2787"/>
      </w:tblGrid>
      <w:tr w:rsidR="00E37B53" w:rsidTr="00E50253">
        <w:tc>
          <w:tcPr>
            <w:tcW w:w="2500" w:type="pct"/>
          </w:tcPr>
          <w:p w:rsidR="00E37B53" w:rsidRDefault="00E37B53">
            <w:pPr>
              <w:rPr>
                <w:sz w:val="24"/>
                <w:szCs w:val="24"/>
              </w:rPr>
            </w:pPr>
            <w:r>
              <w:t>Председатель Правительства</w:t>
            </w:r>
            <w:r>
              <w:br/>
              <w:t>Российской Федерации</w:t>
            </w:r>
          </w:p>
        </w:tc>
        <w:tc>
          <w:tcPr>
            <w:tcW w:w="2500" w:type="pct"/>
          </w:tcPr>
          <w:p w:rsidR="00E37B53" w:rsidRDefault="00E37B53">
            <w:pPr>
              <w:rPr>
                <w:sz w:val="24"/>
                <w:szCs w:val="24"/>
              </w:rPr>
            </w:pPr>
            <w:r>
              <w:t>М. Мишустин</w:t>
            </w:r>
          </w:p>
        </w:tc>
      </w:tr>
    </w:tbl>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УТВЕРЖДЕНО</w:t>
      </w:r>
      <w:r>
        <w:rPr>
          <w:rFonts w:ascii="Arial" w:hAnsi="Arial" w:cs="Arial"/>
          <w:color w:val="333333"/>
          <w:sz w:val="23"/>
          <w:szCs w:val="23"/>
        </w:rPr>
        <w:br/>
      </w:r>
      <w:hyperlink r:id="rId9" w:anchor="0" w:history="1">
        <w:r>
          <w:rPr>
            <w:rStyle w:val="Hyperlink"/>
            <w:rFonts w:ascii="Arial" w:hAnsi="Arial" w:cs="Arial"/>
            <w:color w:val="808080"/>
            <w:sz w:val="23"/>
            <w:szCs w:val="23"/>
            <w:bdr w:val="none" w:sz="0" w:space="0" w:color="auto" w:frame="1"/>
          </w:rPr>
          <w:t>постановлением</w:t>
        </w:r>
      </w:hyperlink>
      <w:r>
        <w:rPr>
          <w:rFonts w:ascii="Arial" w:hAnsi="Arial" w:cs="Arial"/>
          <w:color w:val="333333"/>
          <w:sz w:val="23"/>
          <w:szCs w:val="23"/>
        </w:rPr>
        <w:t> Правительства</w:t>
      </w:r>
      <w:r>
        <w:rPr>
          <w:rFonts w:ascii="Arial" w:hAnsi="Arial" w:cs="Arial"/>
          <w:color w:val="333333"/>
          <w:sz w:val="23"/>
          <w:szCs w:val="23"/>
        </w:rPr>
        <w:br/>
        <w:t>Российской Федерации</w:t>
      </w:r>
      <w:r>
        <w:rPr>
          <w:rFonts w:ascii="Arial" w:hAnsi="Arial" w:cs="Arial"/>
          <w:color w:val="333333"/>
          <w:sz w:val="23"/>
          <w:szCs w:val="23"/>
        </w:rPr>
        <w:br/>
        <w:t xml:space="preserve">от 15 сентября </w:t>
      </w:r>
      <w:smartTag w:uri="urn:schemas-microsoft-com:office:smarttags" w:element="metricconverter">
        <w:smartTagPr>
          <w:attr w:name="ProductID" w:val="2020 г"/>
        </w:smartTagPr>
        <w:r>
          <w:rPr>
            <w:rFonts w:ascii="Arial" w:hAnsi="Arial" w:cs="Arial"/>
            <w:color w:val="333333"/>
            <w:sz w:val="23"/>
            <w:szCs w:val="23"/>
          </w:rPr>
          <w:t>2020 г</w:t>
        </w:r>
      </w:smartTag>
      <w:r>
        <w:rPr>
          <w:rFonts w:ascii="Arial" w:hAnsi="Arial" w:cs="Arial"/>
          <w:color w:val="333333"/>
          <w:sz w:val="23"/>
          <w:szCs w:val="23"/>
        </w:rPr>
        <w:t>. N 1445</w:t>
      </w:r>
    </w:p>
    <w:p w:rsidR="00E37B53" w:rsidRDefault="00E37B53" w:rsidP="00E50253">
      <w:pPr>
        <w:pStyle w:val="Heading3"/>
        <w:shd w:val="clear" w:color="auto" w:fill="FFFFFF"/>
        <w:spacing w:before="0" w:after="255" w:line="270" w:lineRule="atLeast"/>
        <w:rPr>
          <w:color w:val="333333"/>
        </w:rPr>
      </w:pPr>
      <w:r>
        <w:rPr>
          <w:color w:val="333333"/>
        </w:rPr>
        <w:t>Положение</w:t>
      </w:r>
      <w:r>
        <w:rPr>
          <w:color w:val="333333"/>
        </w:rPr>
        <w:br/>
        <w:t>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Настоящее Положение определяет порядок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Понятия, используемые в настоящем Положении, означают следующее:</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"техническое обслуживание медицинской техники" - комплекс регламентированных эксплуатационной документацией производителя медицинского изделия мероприятий по поддержанию исправности и (или) восстановлению работоспособности медицинских изделий с проведением контроля технического состояния при их использовании по назначению, предусмотренному производителем, а также действия по монтажу и наладке медицинских изделий;</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"медицинская техника" - медицинские изделия (за исключением 1 класса потенциального риска применения), подлежащие техническому обслуживанию и представляющие собой инструменты, аппараты, приборы, оборудование, применяемые в медицинских целях отдельно или в сочетании,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 состав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(далее - деятельность по производству и техническому обслуживанию медицинской техники) входят работы (услуги) по перечню согласно </w:t>
      </w:r>
      <w:hyperlink r:id="rId10" w:anchor="10000" w:history="1">
        <w:r>
          <w:rPr>
            <w:rStyle w:val="Hyperlink"/>
            <w:rFonts w:ascii="Arial" w:hAnsi="Arial" w:cs="Arial"/>
            <w:color w:val="808080"/>
            <w:sz w:val="23"/>
            <w:szCs w:val="23"/>
            <w:bdr w:val="none" w:sz="0" w:space="0" w:color="auto" w:frame="1"/>
          </w:rPr>
          <w:t>приложению</w:t>
        </w:r>
      </w:hyperlink>
      <w:r>
        <w:rPr>
          <w:rFonts w:ascii="Arial" w:hAnsi="Arial" w:cs="Arial"/>
          <w:color w:val="333333"/>
          <w:sz w:val="23"/>
          <w:szCs w:val="23"/>
        </w:rPr>
        <w:t>.</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Лицензирование деятельности по производству и техническому обслуживанию медицинской техники осуществляется Федеральной службой по надзору в сфере здравоохранения (далее - лицензирующий орган).</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Лицензирующий орган утверждает формы документов, необходимых для реализации настоящего Положения (формы представляемых заявлений, уведомлений и сведений).</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Лицензионными требованиями при осуществлении деятельности по производству и техническому обслуживанию медицинской техники являются: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для соискателя лицензии: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наличие принадлежащих соискателю лицензии на праве собственности или на ином законном основании помещений, зданий, сооружений по месту осуществления лицензируемого вида деятельности, необходимых для осуществления деятельности по производству и техническому обслуживанию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наличие у соискателя лицензии, имеющего намерение осуществлять деятельность по производству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средств измерений, предусмотренных нормативной, технической документацией производителя и соответствующих требованиям к их поверке, предусмотренным статьей 13 Федерального закона "Об обеспечении единства измерений", технических средств и оборудования, необходимых для осуществления деятельности по производству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регистрационного удостоверения на медицинскую технику, подтверждающего, что соискатель лицензии осуществляет производство этой медицинской техники либо имеет отношение к месту производства этой медицинской техники при условии, что производитель (уполномоченный представитель производителя) заключил соглашение с соискателем лицензии об организации производства, регулирующее в том числе вопросы обеспечения контроля качества и безопасности производимой продукции, а также ответственности перед третьими лицами;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нормативной, технической документации, используемой для осуществления деятельности по производству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системы менеджмента качества, созданной и функционирующей в соответствии с требованиями межгосударственного стандарта ГОСТ ISO 13485-2017;</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работников, заключивших с соискателем лицензии трудовые договоры, ответственных за производство и качество медицинской техники, имеющих высшее или среднее профессиональное (техническое) образование, стаж работы по специальности не менее 3 лет и дополнительное профессиональное образование (повышение квалификации не реже одного раза в 5 лет) в сфере выполняемых работ и оказываемых услуг;</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наличие у соискателя лицензии, имеющего намерение осуществлять деятельность по техническому обслуживанию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средств измерений, соответствующих требованиям к их поверке, предусмотренным статьей 13 Федерального закона "Об обеспечении единства измерений", технических средств и оборудования, необходимых для технического обслуживания заявленных групп медицинской техники по классам потенциального риска применения в соответствии с утвержденным Министерством здравоохранения Российской Федерации перечнем;</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эксплуатационной документации производителя медицинской техники, необходимой для технического обслуживания заявленных групп медицинской техники по классам потенциального риска применения;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системы менеджмента качества, созданной и функционирующей в соответствии с требованиями межгосударственного стандарта ГОСТ ISO 13485-2017;</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работников (при выполнении 1 или 2 видов работ (услуг) - не менее 2 человек, при выполнении 3 или 4 видов работ (услуг) - не менее 3 человек, при выполнении 5 и более видов работ (услуг) - не менее 5 человек), заключивших с соискателем лицензии трудовые договоры, осуществляющих техническое обслуживание медицинской техники, имеющих высшее или среднее профессиональное (техническое) образование, стаж работы по специальности не менее 3 лет и дополнительное профессиональное образование (повышение квалификации не реже одного раза в 5 лет) в сфере выполняемых работ и оказываемых услуг;</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для лицензиата:</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наличие принадлежащих лицензиату на праве собственности или на ином законном основании помещений, зданий, сооружений по месту осуществления лицензируемого вида деятельности, необходимых для осуществления деятельности по производству и техническому обслуживанию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осуществлении деятельности по производству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наличие принадлежащих лицензиату на праве собственности или на ином законном основании средств измерений, предусмотренных нормативной, технической документацией и соответствующих требованиям к их поверке, предусмотренным статьей 13 Федерального закона "Об обеспечении единства измерений", технических средств и оборудования, необходимых для осуществления деятельности по производству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наличие регистрационного удостоверения на медицинскую технику, подтверждающего, что лицензиат осуществляет производство этой медицинской техники либо имеет отношение к месту производства этой медицинской техники при условии, что производитель (уполномоченный представитель производителя) заключил соглашение с лицензиатом (производственной площадкой) об организации производства, регулирующее в том числе вопросы обеспечения контроля качества и безопасности производимой продукции, а также ответственности перед третьими лицами;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соблюдение требований системы менеджмента качества, созданной и функционирующей в соответствии с требованиями межгосударственного стандарта ГОСТ ISO 13485-2017;</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соблюдение требований используемой для осуществления деятельности по производству медицинской техники нормативной, технической документации;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наличие у лицензиата работников, заключивших с ним трудовые договоры, ответственных за производство и качество медицинской техники, имеющих высшее или среднее профессиональное (техническое) образование, стаж работы по специальности не менее 3 лет и дополнительное профессиональное образование (повышение квалификации не реже одного раза в 5 лет) в сфере выполняемых работ и оказываемых услуг;</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осуществлении деятельности по техническому обслуживанию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наличие принадлежащих лицензиату на праве собственности или на ином законном основании средств измерений, предусмотренных нормативной, технической документацией и соответствующих требованиям к их поверке, предусмотренным статьей 13 Федерального закона "Об обеспечении единства измерений", технических средств и оборудования, необходимых для технического обслуживания заявленных групп медицинской техники по классам потенциального риска применения в соответствии с номенклатурной классификацией медицинских изделий по классам в зависимости от потенциального риска их применения;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соблюдение требований эксплуатационной документации производителя медицинской техники при осуществлении технического обслуживания заявленных групп медицинской техники по классам потенциального риска применения;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соблюдение требований системы менеджмента качества, созданной и функционирующей в соответствии с требованиями межгосударственного стандарта ГОСТ ISO 13485-2017;</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наличие у лицензиата работников (при выполнении 1 или 2 видов работ (услуг) - не менее 2 человек, при выполнении 3 или 4 видов работ (услуг) - не менее 3 человек, при выполнении 5 и более видов работ (услуг) - не менее 5 человек), заключивших с ним трудовые договоры, осуществляющих техническое обслуживание медицинской техники, имеющих высшее или среднее профессиональное (техническое) образование, стаж работы по специальности не менее 3 лет и дополнительное профессиональное образование (повышение квалификации не реже одного раза в 5 лет) в сфере выполняемых работ и оказываемых услуг.</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К грубым нарушениям лицензионных требований относятся нарушения лицензиатом требований, предусмотренных </w:t>
      </w:r>
      <w:hyperlink r:id="rId11" w:anchor="1005" w:history="1">
        <w:r>
          <w:rPr>
            <w:rStyle w:val="Hyperlink"/>
            <w:rFonts w:ascii="Arial" w:hAnsi="Arial" w:cs="Arial"/>
            <w:color w:val="808080"/>
            <w:sz w:val="23"/>
            <w:szCs w:val="23"/>
            <w:bdr w:val="none" w:sz="0" w:space="0" w:color="auto" w:frame="1"/>
          </w:rPr>
          <w:t>пунктом 5</w:t>
        </w:r>
      </w:hyperlink>
      <w:r>
        <w:rPr>
          <w:rFonts w:ascii="Arial" w:hAnsi="Arial" w:cs="Arial"/>
          <w:color w:val="333333"/>
          <w:sz w:val="23"/>
          <w:szCs w:val="23"/>
        </w:rPr>
        <w:t> настоящего Положения, повлекшие за собой последствия, установленные частью 11 статьи 19 Федерального закона "О лицензировании отдельных видов деятельности".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Для получения лицензии на осуществление деятельности по производству и техническому обслуживанию медицинской техники соискатель лицензии направляет или представляет в лицензирующий орган заявление, к которому прилагается опись документов, а также:</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копии документов, подтверждающих наличие у соискателя лицензии принадлежащих ему на праве собственности или на ином законном основании помещений, зданий, сооружений по месту осуществления лицензируемого вида деятельности, необходимых для осуществления деятельности по производству и техническому обслуживанию медицинской техники, в случае если информация о них отсутствует в Едином государственном реестре прав на недвижимое имущество и сделок с ним, или сведения об этих помещениях, зданиях, сооружениях, если такая информация имеется в указанном реестре;</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для осуществления деятельности по производству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копии документов, подтверждающих наличие у соискателя лицензии на праве собственности или на ином законном основании средств измерений, предусмотренных нормативной, технической документацией и соответствующих требованиям к их поверке, предусмотренным статьей 13 Федерального закона "Об обеспечении единства измерений", технических средств и оборудования, необходимых для осуществления деятельности по производству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реквизиты документов, подтверждающих регистрацию в Российской Федерации медицинской техники, которую соискатель лицензии намерен производить (указываются в заявлении), а также копию соглашения между производителем (уполномоченным представителем производителя) и соискателем лицензии (производственной площадкой) об организации производства (при наличии);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копии документов, подтверждающих соответствие производства требованиям межгосударственного стандарта ГОСТ ISO 13485-2017;</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копии нормативной, технической документации на медицинскую технику, которую соискатель лицензии намерен производить;</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копии документов, подтверждающих наличие у работников соискателя лицензии, заключивших с соискателем лицензии трудовые договоры, ответственных за производство и качество медицинской техники, высшего или среднего профессионального (технического) образования, стажа работы по специальности не менее 3 лет и дополнительного профессионального образования (повышения квалификации не реже одного раза в 5 лет) в сфере выполняемых работ и оказываемых услуг;</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для осуществления деятельности по техническому обслуживанию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копии документов, подтверждающих наличие у соискателя лицензии на праве собственности или на ином законном основании средств измерений, соответствующих требованиям к их поверке, предусмотренным статьей 13 Федерального закона "Об обеспечении единства измерений", технических средств и оборудования, необходимых для технического обслуживания заявленных групп медицинской техники по классам потенциального риска применения в соответствии с номенклатурной классификацией медицинских изделий по классам в зависимости от потенциального риска их применения;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копии документов, подтверждающих наличие у соискателя лицензии системы менеджмента качества, соответствующей требованиям межгосударственного стандарта ГОСТ ISO 13485-2017;</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копии эксплуатационной документации производителя на медицинскую технику, необходимой для технического обслуживания заявленных групп медицинских изделий по классам потенциального риска применения;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копии документов, подтверждающих наличие у работников соискателя лицензии, заключивших с соискателем лицензии трудовые договоры, осуществляющих техническое обслуживание медицинской техники, высшего или среднего профессионального (технического) образования, стажа работы по специальности не менее 3 лет и дополнительного профессионального образования (повышения квалификации не реже одного раза в 5 лет) в сфере выполняемых работ и оказываемых услуг.</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В заявлении о переоформлении лицензии на осуществление деятельности по производству и техническому обслуживанию медицинской техники лицензиат указывает:</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в случае осуществления деятельности по производству и техническому обслуживанию медицинской техники по адресу места ее осуществления, не указанному в лицензии: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содержащие новый адрес места осуществления деятельности;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документах, подтверждающих право собственности или иное законное основание использования помещений, зданий, сооружений по месту осуществления лицензируемого вида деятельности, необходимых для осуществления деятельности по производству и техническому обслуживанию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осуществлении деятельности по производству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документах, подтверждающих наличие у соискателя лицензии на праве собственности или на ином законном основании средств измерений, предусмотренных нормативной, технической документацией производителя и соответствующих требованиям к их поверке, предусмотренным статьей 13 Федерального закона "Об обеспечении единства измерений", технических средств и оборудования, необходимых для осуществления деятельности по производству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документах, подтверждающих регистрацию медицинских изделий в Российской Федерации;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реквизиты нормативной, технической документации, используемой для осуществления деятельности по производству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реквизиты документов, подтверждающих соответствие производства требованиям межгосударственного стандарта ГОСТ ISO 13485-2017;</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документах о высшем или среднем профессиональном (техническом) образовании, стаже работы по специальности не менее 3 лет и дополнительном профессиональном образовании (повышении квалификации не реже одного раза в 5 лет) в сфере выполняемых работ и оказываемых услуг работников, заключивших с лицензиатом трудовые договоры, ответственных за производство и качество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осуществлении деятельности по техническому обслуживанию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документах, подтверждающих наличие у лицензиата на праве собственности или на ином законном основании средств измерений, соответствующих требованиям к их поверке, предусмотренным статьей 13 Федерального закона "Об обеспечении единства измерений", технических средств и оборудования, необходимых для технического обслуживания заявленных групп медицинской техники по классам потенциального риска применения в соответствии с номенклатурной классификацией медицинских изделий по классам в зависимости от потенциального риска их применения;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реквизиты эксплуатационной документации производителя, необходимой для технического обслуживания заявленных групп медицинских изделий по классам потенциального риска применения (при наличии);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реквизиты документов, подтверждающих наличие у лицензиата системы менеджмента качества, соответствующей требованиям межгосударственного стандарта ГОСТ ISO 13485-2017;</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документах о высшем или среднем профессиональном (техническом) образовании, стаже работы по специальности не менее 3 лет и дополнительном профессиональном образовании (повышении квалификации не реже одного раза в 5 лет) в сфере выполняемых работ и оказываемых услуг работников, заключивших с лицензиатом трудовые договоры, осуществляющих техническое обслуживание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в случае намерения лицензиата выполнять новые работы, оказывать новые услуги, составляющие деятельность по производству и техническому обслуживанию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новых работах, услугах, составляющих деятельность по производству и техническому обслуживанию медицинской техники, которые лицензиат намерен выполнять, оказывать;</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осуществлении деятельности по производству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документах, подтверждающих наличие у лицензиата на праве собственности или на ином законном основании средств измерений, предусмотренных нормативной, технической документацией производителя и соответствующих требованиям к их поверке, предусмотренным статьей 13 Федерального закона "Об обеспечении единства измерений", технических средств и оборудования, необходимых для осуществления деятельности по производству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документах, подтверждающих регистрацию в Российской Федерации медицинских изделий;</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реквизиты нормативной, технической документации, используемой для осуществления деятельности по производству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реквизиты документов, подтверждающих соответствие производства требованиям межгосударственного стандарта ГОСТ ISO 13485-2017;</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документах о высшем или среднем профессиональном (техническом) образовании, стаже работы по специальности не менее 3 лет и дополнительном профессиональном образовании (повышении квалификации не реже одного раза в 5 лет) в сфере выполняемых работ и оказываемых услуг работников, заключивших с лицензиатом трудовые договоры, ответственных за производство и качество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осуществлении деятельности по техническому обслуживанию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документах, подтверждающих наличие у лицензиата на праве собственности или на ином законном основании средств измерений, соответствующих требованиям к их поверке, предусмотренным статьей 13 Федерального закона "Об обеспечении единства измерений", технических средств и оборудования, необходимых для технического обслуживания заявленных групп медицинской техники по классам потенциального риска применения в соответствии с номенклатурной классификацией медицинских изделий по классам в зависимости от потенциального риска их применения;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реквизиты эксплуатационной документации производителя, необходимой для технического обслуживания заявленных групп медицинских изделий по классам потенциального риска применения;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реквизиты документов, подтверждающих наличие у лицензиата системы менеджмента качества, соответствующей требованиям межгосударственного стандарта ГОСТ ISO 13485-2017;</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сведения о документах о высшем или среднем профессиональном (техническом) образовании, стаже работы по специальности не менее 3 лет и дополнительном профессиональном образовании (повышении квалификации не реже одного раза в 5 лет) в сфере выполняемых работ и оказываемых услуг работников, заключивших с лицензиатом трудовые договоры, осуществляющих техническое обслуживание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Выполнение работ, оказание услуг в части технического обслуживания медицинской техники могут осуществляться лицензиатом по адресу эксплуатации (месту нахождения) медицинской техники, не указанному в лицензии в качестве адреса места осуществления лицензируемого вида деятельности, и не требуют переоформления лицензии.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При проведении проверки сведений, содержащихся в представленных соискателем лицензии и лицензиатом заявлении и прилагаемых к нему документах,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законом "Об организации предоставления государственных и муниципальных услуг".</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Лицензирующий орган размещает на едином портале государственных и муниципальных услуг (функций) в порядке, установленном Правительством Российской Федерации, сведения о ходе принятия им решения о предоставлении или переоформлении лицензии, а также проведения проверки соответствия соискателя лицензии лицензионным требованиям и проверки соблюдения лицензиатом указанных требований при осуществлении деятельности по производству и техническому обслуживанию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Информация, относящаяся к осуществлению деятельности по производству и техническому обслуживанию медицинской техники, предусмотренная частями 1 и 2 статьи 21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в течение 10 дней со дня: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официального опубликования нормативных правовых актов, устанавливающих обязательные требования к лицензируемой деятельности;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принятия лицензирующим органом решения о предоставлении, переоформлении, приостановлении, возобновлении или о прекращении действия лицензии;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получения от Федеральной налоговой службы сведений о ликвидации юридического лица или прекращении его деятельности в результате реорганизации либо о прекращении физическим лицом деятельности в качестве индивидуального предпринимателя;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вступления в законную силу решения суда об аннулировании лицензии.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Предметом лицензионного контроля являются соответствие соискателя лицензии лицензионным требованиям и соблюдение лицензиатом лицензионных требований, установленных </w:t>
      </w:r>
      <w:hyperlink r:id="rId12" w:anchor="1005" w:history="1">
        <w:r>
          <w:rPr>
            <w:rStyle w:val="Hyperlink"/>
            <w:rFonts w:ascii="Arial" w:hAnsi="Arial" w:cs="Arial"/>
            <w:color w:val="808080"/>
            <w:sz w:val="23"/>
            <w:szCs w:val="23"/>
            <w:bdr w:val="none" w:sz="0" w:space="0" w:color="auto" w:frame="1"/>
          </w:rPr>
          <w:t>пунктом 5</w:t>
        </w:r>
      </w:hyperlink>
      <w:r>
        <w:rPr>
          <w:rFonts w:ascii="Arial" w:hAnsi="Arial" w:cs="Arial"/>
          <w:color w:val="333333"/>
          <w:sz w:val="23"/>
          <w:szCs w:val="23"/>
        </w:rPr>
        <w:t> настоящего Положения.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Лицензионный контроль осуществляется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 лицензировании отдельных видов деятельности".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 Должностными лицами лицензирующего органа, уполномоченными осуществлять лицензионный контроль, являются: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руководитель, его заместители;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руководители структурных подразделений, их заместители, должностными регламентами которых предусмотрены полномочия по осуществлению лицензионного контроля;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иные государственные гражданские служащие, должностными регламентами которых предусмотрены полномочия по осуществлению лицензионного контроля.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 Должностные лица лицензирующего органа при проведении проверок в рамках осуществления лицензионного контроля соблюдают ограничения и выполняют обязанности, установленные статьями 15 - 18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и обязанностей в соответствии с законодательством Российской Федерации.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 При организации и осуществлении лицензионного контроля лицензирующий орган вправе привлекать экспертов, а также экспертные организации, которые аккредитованы в установленном порядке.</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 В целях предупреждения нарушений лицензиатами лицензионных требований лицензирующим органом осуществляются мероприятия по профилактике нарушений лицензионных требований в соответствии с требованиями, установленными статьей 8</w:t>
      </w:r>
      <w:r>
        <w:rPr>
          <w:rFonts w:ascii="Arial" w:hAnsi="Arial" w:cs="Arial"/>
          <w:color w:val="333333"/>
          <w:sz w:val="20"/>
          <w:szCs w:val="20"/>
          <w:vertAlign w:val="superscript"/>
        </w:rPr>
        <w:t>2</w:t>
      </w:r>
      <w:r>
        <w:rPr>
          <w:rFonts w:ascii="Arial" w:hAnsi="Arial" w:cs="Arial"/>
          <w:color w:val="333333"/>
          <w:sz w:val="23"/>
          <w:szCs w:val="23"/>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 Лицензирующим органом проводятся мероприятия по контролю без взаимодействия с лицензиатами, предусмотренные пунктом 7 части 1 статьи 8</w:t>
      </w:r>
      <w:r>
        <w:rPr>
          <w:rFonts w:ascii="Arial" w:hAnsi="Arial" w:cs="Arial"/>
          <w:color w:val="333333"/>
          <w:sz w:val="20"/>
          <w:szCs w:val="20"/>
          <w:vertAlign w:val="superscript"/>
        </w:rPr>
        <w:t>3</w:t>
      </w:r>
      <w:r>
        <w:rPr>
          <w:rFonts w:ascii="Arial" w:hAnsi="Arial" w:cs="Arial"/>
          <w:color w:val="333333"/>
          <w:sz w:val="23"/>
          <w:szCs w:val="23"/>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путем наблюдения за соблюдением лицензионных требований и анализа информации о деятельности либо действиях лицензиатов, которая представляется лицензиатами (в том числе посредством использования федеральных государственных информационных систем) в лицензирующий орган или может быть получена (в том числе в рамках межведомственного информационного взаимодействия) лицензирующим органом без возложения на лицензиатов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 Представление соискателем лицензии заявления и документов, необходимых для получения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приостановлении или возобновлении ее действия, а также ведение информационного ресурса и реестра лицензий и предоставление сведений, содержащихся в информационном ресурсе и реестре лицензий, осуществляются в порядке, установленном Федеральным законом "О лицензировании отдельных видов деятельности".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 За предоставление лицензирующим органом лицензии и переоформление лицензии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E37B53" w:rsidRDefault="00E37B53" w:rsidP="00E50253">
      <w:pPr>
        <w:pStyle w:val="toright"/>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w:t>
      </w:r>
      <w:r>
        <w:rPr>
          <w:rFonts w:ascii="Arial" w:hAnsi="Arial" w:cs="Arial"/>
          <w:color w:val="333333"/>
          <w:sz w:val="23"/>
          <w:szCs w:val="23"/>
        </w:rPr>
        <w:br/>
        <w:t>к </w:t>
      </w:r>
      <w:hyperlink r:id="rId13" w:anchor="1000" w:history="1">
        <w:r>
          <w:rPr>
            <w:rStyle w:val="Hyperlink"/>
            <w:rFonts w:ascii="Arial" w:hAnsi="Arial" w:cs="Arial"/>
            <w:color w:val="808080"/>
            <w:sz w:val="23"/>
            <w:szCs w:val="23"/>
            <w:bdr w:val="none" w:sz="0" w:space="0" w:color="auto" w:frame="1"/>
          </w:rPr>
          <w:t>Положению</w:t>
        </w:r>
      </w:hyperlink>
      <w:r>
        <w:rPr>
          <w:rFonts w:ascii="Arial" w:hAnsi="Arial" w:cs="Arial"/>
          <w:color w:val="333333"/>
          <w:sz w:val="23"/>
          <w:szCs w:val="23"/>
        </w:rPr>
        <w:t> о лицензировании</w:t>
      </w:r>
      <w:r>
        <w:rPr>
          <w:rFonts w:ascii="Arial" w:hAnsi="Arial" w:cs="Arial"/>
          <w:color w:val="333333"/>
          <w:sz w:val="23"/>
          <w:szCs w:val="23"/>
        </w:rPr>
        <w:br/>
        <w:t>деятельности по производству</w:t>
      </w:r>
      <w:r>
        <w:rPr>
          <w:rFonts w:ascii="Arial" w:hAnsi="Arial" w:cs="Arial"/>
          <w:color w:val="333333"/>
          <w:sz w:val="23"/>
          <w:szCs w:val="23"/>
        </w:rPr>
        <w:br/>
        <w:t>и техническому обслуживанию</w:t>
      </w:r>
      <w:r>
        <w:rPr>
          <w:rFonts w:ascii="Arial" w:hAnsi="Arial" w:cs="Arial"/>
          <w:color w:val="333333"/>
          <w:sz w:val="23"/>
          <w:szCs w:val="23"/>
        </w:rPr>
        <w:br/>
        <w:t>(за исключением случая,</w:t>
      </w:r>
      <w:r>
        <w:rPr>
          <w:rFonts w:ascii="Arial" w:hAnsi="Arial" w:cs="Arial"/>
          <w:color w:val="333333"/>
          <w:sz w:val="23"/>
          <w:szCs w:val="23"/>
        </w:rPr>
        <w:br/>
        <w:t>если техническое обслуживание</w:t>
      </w:r>
      <w:r>
        <w:rPr>
          <w:rFonts w:ascii="Arial" w:hAnsi="Arial" w:cs="Arial"/>
          <w:color w:val="333333"/>
          <w:sz w:val="23"/>
          <w:szCs w:val="23"/>
        </w:rPr>
        <w:br/>
        <w:t>осуществляется для обеспечения</w:t>
      </w:r>
      <w:r>
        <w:rPr>
          <w:rFonts w:ascii="Arial" w:hAnsi="Arial" w:cs="Arial"/>
          <w:color w:val="333333"/>
          <w:sz w:val="23"/>
          <w:szCs w:val="23"/>
        </w:rPr>
        <w:br/>
        <w:t>собственных нужд юридического лица</w:t>
      </w:r>
      <w:r>
        <w:rPr>
          <w:rFonts w:ascii="Arial" w:hAnsi="Arial" w:cs="Arial"/>
          <w:color w:val="333333"/>
          <w:sz w:val="23"/>
          <w:szCs w:val="23"/>
        </w:rPr>
        <w:br/>
        <w:t>или индивидуального предпринимателя)</w:t>
      </w:r>
      <w:r>
        <w:rPr>
          <w:rFonts w:ascii="Arial" w:hAnsi="Arial" w:cs="Arial"/>
          <w:color w:val="333333"/>
          <w:sz w:val="23"/>
          <w:szCs w:val="23"/>
        </w:rPr>
        <w:br/>
        <w:t>медицинской техники</w:t>
      </w:r>
    </w:p>
    <w:p w:rsidR="00E37B53" w:rsidRDefault="00E37B53" w:rsidP="00E50253">
      <w:pPr>
        <w:pStyle w:val="Heading3"/>
        <w:shd w:val="clear" w:color="auto" w:fill="FFFFFF"/>
        <w:spacing w:before="0" w:after="255" w:line="270" w:lineRule="atLeast"/>
        <w:rPr>
          <w:color w:val="333333"/>
        </w:rPr>
      </w:pPr>
      <w:r>
        <w:rPr>
          <w:color w:val="333333"/>
        </w:rPr>
        <w:t>Перечень</w:t>
      </w:r>
      <w:r>
        <w:rPr>
          <w:color w:val="333333"/>
        </w:rPr>
        <w:br/>
        <w:t>выполняемых работ, оказываемых услуг в составе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Производство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 техническое обслуживание следующих групп медицинской техники класса 2а потенциального риска применения: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ортопедические медицинские изделия;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гастроэнтерологические медицинские изделия;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реабилитационные и адаптированные для инвалидов медицинские изделия;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медицинские изделия для пластической хирургии, дерматологии и косметологии;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вспомогательные и общебольничные медицинские изделия;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стоматологические медицинские изделия;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анестезиологические и респираторные медицинские изделия (мониторы, системы мониторирования анестезиологические, респираторные);</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нейрологические медицинские изделия;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сердечно-сосудистые медицинские изделия (медицинские изделия для определения физиологических параметров, картирования сердца, мониторы, системы мониторирования кардиологические и сопутствующие изделия);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офтальмологические медицинские изделия;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медицинские изделия для оториноларингологии;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физиотерапевтические медицинские изделия;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медицинские изделия для in vitro диагностики (зарегистрированные в установленном порядке в соответствии с актами, составляющими право Евразийского экономического союза, или законодательством Российской Федерации);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техническое обслуживание групп медицинской техники класса 2б потенциального риска применения: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хирургические инструменты, системы и сопутствующие медицинские изделия;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сердечно-сосудистые медицинские изделия (за исключением медицинских изделий для определения физиологических параметров, картирования сердца, мониторов, систем мониторирования кардиологических и сопутствующих изделий);</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медицинские изделия для манипуляций, восстановления тканей, органов человека;</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медицинские изделия для акушерства и гинекологии;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анестезиологические и респираторные медицинские изделия (за исключением мониторов, систем мониторирования анестезиологических, респираторных);</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радиологические медицинские изделия (в части оборудования для ультразвукового исследования);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радиологические медицинские изделия (в части гамма-диагностического, гамма-терапевтического оборудования и эмиссионной томографии);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радиологические медицинские изделия (в части оборудования для магнитно-резонансной томографии);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радиологические медицинские изделия (в части оборудования для рентгенотерапии);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радиологические медицинские изделия (в части рентгеновского оборудования для компьютерной томографии и ангиографии);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радиологические медицинские изделия (в части оборудования для рентгенографии и рентгеноскопии);</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техническое обслуживание групп медицинской техники класса 3 потенциального риска применения: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урологические медицинские изделия;</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медицинские изделия, предназначенные для афереза.</w:t>
      </w:r>
    </w:p>
    <w:p w:rsidR="00E37B53" w:rsidRDefault="00E37B53" w:rsidP="00E50253">
      <w:pPr>
        <w:pStyle w:val="Heading2"/>
        <w:shd w:val="clear" w:color="auto" w:fill="FFFFFF"/>
        <w:spacing w:before="0" w:after="255" w:line="300" w:lineRule="atLeast"/>
        <w:rPr>
          <w:rFonts w:ascii="Arial" w:hAnsi="Arial" w:cs="Arial"/>
          <w:color w:val="4D4D4D"/>
          <w:sz w:val="27"/>
          <w:szCs w:val="27"/>
        </w:rPr>
      </w:pPr>
      <w:bookmarkStart w:id="1" w:name="review"/>
      <w:bookmarkEnd w:id="1"/>
      <w:r>
        <w:rPr>
          <w:rFonts w:ascii="Arial" w:hAnsi="Arial" w:cs="Arial"/>
          <w:color w:val="4D4D4D"/>
          <w:sz w:val="27"/>
          <w:szCs w:val="27"/>
        </w:rPr>
        <w:t>Обзор документа</w:t>
      </w:r>
    </w:p>
    <w:p w:rsidR="00E37B53" w:rsidRDefault="00E37B53" w:rsidP="00E50253">
      <w:pPr>
        <w:spacing w:before="255" w:after="255"/>
        <w:rPr>
          <w:rFonts w:ascii="Times New Roman" w:hAnsi="Times New Roman"/>
          <w:sz w:val="24"/>
          <w:szCs w:val="24"/>
        </w:rPr>
      </w:pPr>
      <w:r>
        <w:pict>
          <v:rect id="_x0000_i1025" style="width:0;height:.75pt" o:hralign="center" o:hrstd="t" o:hrnoshade="t" o:hr="t" fillcolor="#333" stroked="f"/>
        </w:pic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Правительство РФ обновило правила лицензирования деятельности по производству и техобслуживанию медицинской техники, за исключением случая, когда техобслуживание выполняется для собственных нужд организации или ИП. Прежний порядок от 2013 г. был признан утратившим силу в рамках механизма "регуляторной гильотины".</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Лицензии по-прежнему выдает Росздравнадзор. Уточнены требования к соискателям лицензии и лицензиатам. Исключены устаревшие нормы. Ранее выданные лицензии должны быть переоформлены до 31 декабря 2023 г.</w:t>
      </w:r>
    </w:p>
    <w:p w:rsidR="00E37B53" w:rsidRDefault="00E37B53" w:rsidP="00E50253">
      <w:pPr>
        <w:pStyle w:val="NormalWeb"/>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Постановление вступает в силу с 1 января 2021 г. и действует до 1 января 2027 г.</w:t>
      </w:r>
    </w:p>
    <w:p w:rsidR="00E37B53" w:rsidRPr="00E50253" w:rsidRDefault="00E37B53" w:rsidP="00E50253">
      <w:pPr>
        <w:rPr>
          <w:szCs w:val="23"/>
        </w:rPr>
      </w:pPr>
    </w:p>
    <w:sectPr w:rsidR="00E37B53" w:rsidRPr="00E50253" w:rsidSect="00A44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B42B6"/>
    <w:multiLevelType w:val="multilevel"/>
    <w:tmpl w:val="DE5E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8102C5"/>
    <w:multiLevelType w:val="hybridMultilevel"/>
    <w:tmpl w:val="FDA0A708"/>
    <w:lvl w:ilvl="0" w:tplc="01BAB9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A157301"/>
    <w:multiLevelType w:val="hybridMultilevel"/>
    <w:tmpl w:val="85A81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FA8"/>
    <w:rsid w:val="000445C5"/>
    <w:rsid w:val="002B5165"/>
    <w:rsid w:val="0030461D"/>
    <w:rsid w:val="00356830"/>
    <w:rsid w:val="003B7730"/>
    <w:rsid w:val="004158E6"/>
    <w:rsid w:val="005B21D0"/>
    <w:rsid w:val="005C0513"/>
    <w:rsid w:val="00691954"/>
    <w:rsid w:val="006B44E3"/>
    <w:rsid w:val="006F608E"/>
    <w:rsid w:val="00817384"/>
    <w:rsid w:val="00A44AA8"/>
    <w:rsid w:val="00A65275"/>
    <w:rsid w:val="00B17FA8"/>
    <w:rsid w:val="00B50FB2"/>
    <w:rsid w:val="00C65D96"/>
    <w:rsid w:val="00CC2056"/>
    <w:rsid w:val="00D81EC5"/>
    <w:rsid w:val="00E37B53"/>
    <w:rsid w:val="00E50253"/>
    <w:rsid w:val="00FC0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A8"/>
    <w:pPr>
      <w:spacing w:after="200" w:line="276" w:lineRule="auto"/>
    </w:pPr>
    <w:rPr>
      <w:lang w:eastAsia="en-US"/>
    </w:rPr>
  </w:style>
  <w:style w:type="paragraph" w:styleId="Heading2">
    <w:name w:val="heading 2"/>
    <w:basedOn w:val="Normal"/>
    <w:next w:val="Normal"/>
    <w:link w:val="Heading2Char"/>
    <w:uiPriority w:val="99"/>
    <w:qFormat/>
    <w:rsid w:val="00B17FA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E50253"/>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B17FA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17FA8"/>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rsid w:val="0020359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locked/>
    <w:rsid w:val="00B17FA8"/>
    <w:rPr>
      <w:rFonts w:ascii="Times New Roman" w:hAnsi="Times New Roman" w:cs="Times New Roman"/>
      <w:b/>
      <w:bCs/>
      <w:sz w:val="24"/>
      <w:szCs w:val="24"/>
      <w:lang w:eastAsia="ru-RU"/>
    </w:rPr>
  </w:style>
  <w:style w:type="character" w:styleId="Hyperlink">
    <w:name w:val="Hyperlink"/>
    <w:basedOn w:val="DefaultParagraphFont"/>
    <w:uiPriority w:val="99"/>
    <w:semiHidden/>
    <w:rsid w:val="00B17FA8"/>
    <w:rPr>
      <w:rFonts w:cs="Times New Roman"/>
      <w:color w:val="0000FF"/>
      <w:u w:val="single"/>
    </w:rPr>
  </w:style>
  <w:style w:type="character" w:customStyle="1" w:styleId="priceline">
    <w:name w:val="priceline"/>
    <w:basedOn w:val="DefaultParagraphFont"/>
    <w:uiPriority w:val="99"/>
    <w:rsid w:val="00B17FA8"/>
    <w:rPr>
      <w:rFonts w:cs="Times New Roman"/>
    </w:rPr>
  </w:style>
  <w:style w:type="character" w:customStyle="1" w:styleId="rouble">
    <w:name w:val="rouble"/>
    <w:basedOn w:val="DefaultParagraphFont"/>
    <w:uiPriority w:val="99"/>
    <w:rsid w:val="00B17FA8"/>
    <w:rPr>
      <w:rFonts w:cs="Times New Roman"/>
    </w:rPr>
  </w:style>
  <w:style w:type="character" w:customStyle="1" w:styleId="mod-item-price1000">
    <w:name w:val="mod-item-price1000"/>
    <w:basedOn w:val="DefaultParagraphFont"/>
    <w:uiPriority w:val="99"/>
    <w:rsid w:val="00B17FA8"/>
    <w:rPr>
      <w:rFonts w:cs="Times New Roman"/>
    </w:rPr>
  </w:style>
  <w:style w:type="character" w:customStyle="1" w:styleId="mod-item-comission">
    <w:name w:val="mod-item-comission"/>
    <w:basedOn w:val="DefaultParagraphFont"/>
    <w:uiPriority w:val="99"/>
    <w:rsid w:val="00B17FA8"/>
    <w:rPr>
      <w:rFonts w:cs="Times New Roman"/>
    </w:rPr>
  </w:style>
  <w:style w:type="character" w:customStyle="1" w:styleId="mod-item-typetext">
    <w:name w:val="mod-item-typetext"/>
    <w:basedOn w:val="DefaultParagraphFont"/>
    <w:uiPriority w:val="99"/>
    <w:rsid w:val="00B17FA8"/>
    <w:rPr>
      <w:rFonts w:cs="Times New Roman"/>
    </w:rPr>
  </w:style>
  <w:style w:type="character" w:customStyle="1" w:styleId="mod-item-category">
    <w:name w:val="mod-item-category"/>
    <w:basedOn w:val="DefaultParagraphFont"/>
    <w:uiPriority w:val="99"/>
    <w:rsid w:val="00B17FA8"/>
    <w:rPr>
      <w:rFonts w:cs="Times New Roman"/>
    </w:rPr>
  </w:style>
  <w:style w:type="paragraph" w:styleId="NormalWeb">
    <w:name w:val="Normal (Web)"/>
    <w:basedOn w:val="Normal"/>
    <w:uiPriority w:val="99"/>
    <w:rsid w:val="00B17FA8"/>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B1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7FA8"/>
    <w:rPr>
      <w:rFonts w:ascii="Tahoma" w:hAnsi="Tahoma" w:cs="Tahoma"/>
      <w:sz w:val="16"/>
      <w:szCs w:val="16"/>
    </w:rPr>
  </w:style>
  <w:style w:type="paragraph" w:customStyle="1" w:styleId="toright">
    <w:name w:val="toright"/>
    <w:basedOn w:val="Normal"/>
    <w:uiPriority w:val="99"/>
    <w:rsid w:val="00E5025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2232431">
      <w:marLeft w:val="0"/>
      <w:marRight w:val="0"/>
      <w:marTop w:val="0"/>
      <w:marBottom w:val="0"/>
      <w:divBdr>
        <w:top w:val="none" w:sz="0" w:space="0" w:color="auto"/>
        <w:left w:val="none" w:sz="0" w:space="0" w:color="auto"/>
        <w:bottom w:val="none" w:sz="0" w:space="0" w:color="auto"/>
        <w:right w:val="none" w:sz="0" w:space="0" w:color="auto"/>
      </w:divBdr>
      <w:divsChild>
        <w:div w:id="552232423">
          <w:marLeft w:val="0"/>
          <w:marRight w:val="0"/>
          <w:marTop w:val="222"/>
          <w:marBottom w:val="222"/>
          <w:divBdr>
            <w:top w:val="none" w:sz="0" w:space="0" w:color="auto"/>
            <w:left w:val="none" w:sz="0" w:space="0" w:color="auto"/>
            <w:bottom w:val="none" w:sz="0" w:space="0" w:color="auto"/>
            <w:right w:val="none" w:sz="0" w:space="0" w:color="auto"/>
          </w:divBdr>
          <w:divsChild>
            <w:div w:id="552232425">
              <w:marLeft w:val="0"/>
              <w:marRight w:val="0"/>
              <w:marTop w:val="0"/>
              <w:marBottom w:val="0"/>
              <w:divBdr>
                <w:top w:val="none" w:sz="0" w:space="0" w:color="auto"/>
                <w:left w:val="none" w:sz="0" w:space="0" w:color="auto"/>
                <w:bottom w:val="none" w:sz="0" w:space="0" w:color="auto"/>
                <w:right w:val="none" w:sz="0" w:space="0" w:color="auto"/>
              </w:divBdr>
              <w:divsChild>
                <w:div w:id="552232419">
                  <w:marLeft w:val="0"/>
                  <w:marRight w:val="0"/>
                  <w:marTop w:val="0"/>
                  <w:marBottom w:val="0"/>
                  <w:divBdr>
                    <w:top w:val="none" w:sz="0" w:space="0" w:color="auto"/>
                    <w:left w:val="none" w:sz="0" w:space="0" w:color="auto"/>
                    <w:bottom w:val="none" w:sz="0" w:space="0" w:color="auto"/>
                    <w:right w:val="none" w:sz="0" w:space="0" w:color="auto"/>
                  </w:divBdr>
                  <w:divsChild>
                    <w:div w:id="552232421">
                      <w:marLeft w:val="0"/>
                      <w:marRight w:val="0"/>
                      <w:marTop w:val="0"/>
                      <w:marBottom w:val="0"/>
                      <w:divBdr>
                        <w:top w:val="none" w:sz="0" w:space="0" w:color="auto"/>
                        <w:left w:val="none" w:sz="0" w:space="0" w:color="auto"/>
                        <w:bottom w:val="none" w:sz="0" w:space="0" w:color="auto"/>
                        <w:right w:val="none" w:sz="0" w:space="0" w:color="auto"/>
                      </w:divBdr>
                      <w:divsChild>
                        <w:div w:id="552232416">
                          <w:marLeft w:val="0"/>
                          <w:marRight w:val="0"/>
                          <w:marTop w:val="0"/>
                          <w:marBottom w:val="0"/>
                          <w:divBdr>
                            <w:top w:val="none" w:sz="0" w:space="0" w:color="auto"/>
                            <w:left w:val="none" w:sz="0" w:space="0" w:color="auto"/>
                            <w:bottom w:val="none" w:sz="0" w:space="0" w:color="auto"/>
                            <w:right w:val="none" w:sz="0" w:space="0" w:color="auto"/>
                          </w:divBdr>
                        </w:div>
                        <w:div w:id="552232417">
                          <w:marLeft w:val="0"/>
                          <w:marRight w:val="0"/>
                          <w:marTop w:val="0"/>
                          <w:marBottom w:val="0"/>
                          <w:divBdr>
                            <w:top w:val="none" w:sz="0" w:space="0" w:color="auto"/>
                            <w:left w:val="none" w:sz="0" w:space="0" w:color="auto"/>
                            <w:bottom w:val="none" w:sz="0" w:space="0" w:color="auto"/>
                            <w:right w:val="none" w:sz="0" w:space="0" w:color="auto"/>
                          </w:divBdr>
                        </w:div>
                        <w:div w:id="552232422">
                          <w:marLeft w:val="0"/>
                          <w:marRight w:val="0"/>
                          <w:marTop w:val="0"/>
                          <w:marBottom w:val="0"/>
                          <w:divBdr>
                            <w:top w:val="none" w:sz="0" w:space="0" w:color="auto"/>
                            <w:left w:val="none" w:sz="0" w:space="0" w:color="auto"/>
                            <w:bottom w:val="none" w:sz="0" w:space="0" w:color="auto"/>
                            <w:right w:val="none" w:sz="0" w:space="0" w:color="auto"/>
                          </w:divBdr>
                        </w:div>
                        <w:div w:id="552232424">
                          <w:marLeft w:val="0"/>
                          <w:marRight w:val="0"/>
                          <w:marTop w:val="0"/>
                          <w:marBottom w:val="0"/>
                          <w:divBdr>
                            <w:top w:val="none" w:sz="0" w:space="0" w:color="auto"/>
                            <w:left w:val="none" w:sz="0" w:space="0" w:color="auto"/>
                            <w:bottom w:val="none" w:sz="0" w:space="0" w:color="auto"/>
                            <w:right w:val="none" w:sz="0" w:space="0" w:color="auto"/>
                          </w:divBdr>
                        </w:div>
                        <w:div w:id="552232426">
                          <w:marLeft w:val="0"/>
                          <w:marRight w:val="0"/>
                          <w:marTop w:val="0"/>
                          <w:marBottom w:val="0"/>
                          <w:divBdr>
                            <w:top w:val="none" w:sz="0" w:space="0" w:color="auto"/>
                            <w:left w:val="none" w:sz="0" w:space="0" w:color="auto"/>
                            <w:bottom w:val="none" w:sz="0" w:space="0" w:color="auto"/>
                            <w:right w:val="none" w:sz="0" w:space="0" w:color="auto"/>
                          </w:divBdr>
                        </w:div>
                        <w:div w:id="552232427">
                          <w:marLeft w:val="0"/>
                          <w:marRight w:val="0"/>
                          <w:marTop w:val="0"/>
                          <w:marBottom w:val="0"/>
                          <w:divBdr>
                            <w:top w:val="none" w:sz="0" w:space="0" w:color="auto"/>
                            <w:left w:val="none" w:sz="0" w:space="0" w:color="auto"/>
                            <w:bottom w:val="none" w:sz="0" w:space="0" w:color="auto"/>
                            <w:right w:val="none" w:sz="0" w:space="0" w:color="auto"/>
                          </w:divBdr>
                        </w:div>
                        <w:div w:id="552232429">
                          <w:marLeft w:val="0"/>
                          <w:marRight w:val="0"/>
                          <w:marTop w:val="0"/>
                          <w:marBottom w:val="0"/>
                          <w:divBdr>
                            <w:top w:val="none" w:sz="0" w:space="0" w:color="auto"/>
                            <w:left w:val="none" w:sz="0" w:space="0" w:color="auto"/>
                            <w:bottom w:val="none" w:sz="0" w:space="0" w:color="auto"/>
                            <w:right w:val="none" w:sz="0" w:space="0" w:color="auto"/>
                          </w:divBdr>
                          <w:divsChild>
                            <w:div w:id="552232433">
                              <w:marLeft w:val="0"/>
                              <w:marRight w:val="0"/>
                              <w:marTop w:val="0"/>
                              <w:marBottom w:val="0"/>
                              <w:divBdr>
                                <w:top w:val="none" w:sz="0" w:space="0" w:color="auto"/>
                                <w:left w:val="none" w:sz="0" w:space="0" w:color="auto"/>
                                <w:bottom w:val="none" w:sz="0" w:space="0" w:color="auto"/>
                                <w:right w:val="none" w:sz="0" w:space="0" w:color="auto"/>
                              </w:divBdr>
                            </w:div>
                          </w:divsChild>
                        </w:div>
                        <w:div w:id="552232430">
                          <w:marLeft w:val="0"/>
                          <w:marRight w:val="0"/>
                          <w:marTop w:val="0"/>
                          <w:marBottom w:val="0"/>
                          <w:divBdr>
                            <w:top w:val="none" w:sz="0" w:space="0" w:color="auto"/>
                            <w:left w:val="none" w:sz="0" w:space="0" w:color="auto"/>
                            <w:bottom w:val="none" w:sz="0" w:space="0" w:color="auto"/>
                            <w:right w:val="none" w:sz="0" w:space="0" w:color="auto"/>
                          </w:divBdr>
                        </w:div>
                        <w:div w:id="552232432">
                          <w:marLeft w:val="0"/>
                          <w:marRight w:val="0"/>
                          <w:marTop w:val="0"/>
                          <w:marBottom w:val="0"/>
                          <w:divBdr>
                            <w:top w:val="none" w:sz="0" w:space="0" w:color="auto"/>
                            <w:left w:val="none" w:sz="0" w:space="0" w:color="auto"/>
                            <w:bottom w:val="none" w:sz="0" w:space="0" w:color="auto"/>
                            <w:right w:val="none" w:sz="0" w:space="0" w:color="auto"/>
                          </w:divBdr>
                        </w:div>
                        <w:div w:id="552232434">
                          <w:marLeft w:val="0"/>
                          <w:marRight w:val="0"/>
                          <w:marTop w:val="0"/>
                          <w:marBottom w:val="0"/>
                          <w:divBdr>
                            <w:top w:val="none" w:sz="0" w:space="0" w:color="auto"/>
                            <w:left w:val="none" w:sz="0" w:space="0" w:color="auto"/>
                            <w:bottom w:val="none" w:sz="0" w:space="0" w:color="auto"/>
                            <w:right w:val="none" w:sz="0" w:space="0" w:color="auto"/>
                          </w:divBdr>
                        </w:div>
                        <w:div w:id="552232436">
                          <w:marLeft w:val="0"/>
                          <w:marRight w:val="0"/>
                          <w:marTop w:val="0"/>
                          <w:marBottom w:val="0"/>
                          <w:divBdr>
                            <w:top w:val="none" w:sz="0" w:space="0" w:color="auto"/>
                            <w:left w:val="none" w:sz="0" w:space="0" w:color="auto"/>
                            <w:bottom w:val="none" w:sz="0" w:space="0" w:color="auto"/>
                            <w:right w:val="none" w:sz="0" w:space="0" w:color="auto"/>
                          </w:divBdr>
                        </w:div>
                        <w:div w:id="552232437">
                          <w:marLeft w:val="0"/>
                          <w:marRight w:val="0"/>
                          <w:marTop w:val="0"/>
                          <w:marBottom w:val="0"/>
                          <w:divBdr>
                            <w:top w:val="none" w:sz="0" w:space="0" w:color="auto"/>
                            <w:left w:val="none" w:sz="0" w:space="0" w:color="auto"/>
                            <w:bottom w:val="none" w:sz="0" w:space="0" w:color="auto"/>
                            <w:right w:val="none" w:sz="0" w:space="0" w:color="auto"/>
                          </w:divBdr>
                        </w:div>
                      </w:divsChild>
                    </w:div>
                    <w:div w:id="552232428">
                      <w:marLeft w:val="0"/>
                      <w:marRight w:val="0"/>
                      <w:marTop w:val="0"/>
                      <w:marBottom w:val="0"/>
                      <w:divBdr>
                        <w:top w:val="none" w:sz="0" w:space="0" w:color="auto"/>
                        <w:left w:val="none" w:sz="0" w:space="0" w:color="auto"/>
                        <w:bottom w:val="none" w:sz="0" w:space="0" w:color="auto"/>
                        <w:right w:val="none" w:sz="0" w:space="0" w:color="auto"/>
                      </w:divBdr>
                      <w:divsChild>
                        <w:div w:id="552232418">
                          <w:marLeft w:val="0"/>
                          <w:marRight w:val="0"/>
                          <w:marTop w:val="0"/>
                          <w:marBottom w:val="0"/>
                          <w:divBdr>
                            <w:top w:val="none" w:sz="0" w:space="0" w:color="auto"/>
                            <w:left w:val="none" w:sz="0" w:space="0" w:color="auto"/>
                            <w:bottom w:val="none" w:sz="0" w:space="0" w:color="auto"/>
                            <w:right w:val="none" w:sz="0" w:space="0" w:color="auto"/>
                          </w:divBdr>
                        </w:div>
                        <w:div w:id="5522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2435">
          <w:marLeft w:val="0"/>
          <w:marRight w:val="0"/>
          <w:marTop w:val="0"/>
          <w:marBottom w:val="0"/>
          <w:divBdr>
            <w:top w:val="none" w:sz="0" w:space="0" w:color="auto"/>
            <w:left w:val="none" w:sz="0" w:space="0" w:color="auto"/>
            <w:bottom w:val="none" w:sz="0" w:space="0" w:color="auto"/>
            <w:right w:val="none" w:sz="0" w:space="0" w:color="auto"/>
          </w:divBdr>
        </w:div>
      </w:divsChild>
    </w:div>
    <w:div w:id="552232438">
      <w:marLeft w:val="0"/>
      <w:marRight w:val="0"/>
      <w:marTop w:val="0"/>
      <w:marBottom w:val="0"/>
      <w:divBdr>
        <w:top w:val="none" w:sz="0" w:space="0" w:color="auto"/>
        <w:left w:val="none" w:sz="0" w:space="0" w:color="auto"/>
        <w:bottom w:val="none" w:sz="0" w:space="0" w:color="auto"/>
        <w:right w:val="none" w:sz="0" w:space="0" w:color="auto"/>
      </w:divBdr>
      <w:divsChild>
        <w:div w:id="552232439">
          <w:marLeft w:val="0"/>
          <w:marRight w:val="0"/>
          <w:marTop w:val="0"/>
          <w:marBottom w:val="180"/>
          <w:divBdr>
            <w:top w:val="none" w:sz="0" w:space="0" w:color="auto"/>
            <w:left w:val="none" w:sz="0" w:space="0" w:color="auto"/>
            <w:bottom w:val="none" w:sz="0" w:space="0" w:color="auto"/>
            <w:right w:val="none" w:sz="0" w:space="0" w:color="auto"/>
          </w:divBdr>
        </w:div>
        <w:div w:id="55223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4054/" TargetMode="External"/><Relationship Id="rId13" Type="http://schemas.openxmlformats.org/officeDocument/2006/relationships/hyperlink" Target="https://www.garant.ru/products/ipo/prime/doc/74564054/" TargetMode="External"/><Relationship Id="rId3" Type="http://schemas.openxmlformats.org/officeDocument/2006/relationships/settings" Target="settings.xml"/><Relationship Id="rId7" Type="http://schemas.openxmlformats.org/officeDocument/2006/relationships/hyperlink" Target="https://www.garant.ru/products/ipo/prime/doc/74564054/" TargetMode="External"/><Relationship Id="rId12" Type="http://schemas.openxmlformats.org/officeDocument/2006/relationships/hyperlink" Target="https://www.garant.ru/products/ipo/prime/doc/74564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4564054/" TargetMode="External"/><Relationship Id="rId11" Type="http://schemas.openxmlformats.org/officeDocument/2006/relationships/hyperlink" Target="https://www.garant.ru/products/ipo/prime/doc/74564054/" TargetMode="External"/><Relationship Id="rId5" Type="http://schemas.openxmlformats.org/officeDocument/2006/relationships/hyperlink" Target="https://www.garant.ru/products/ipo/prime/doc/74564054/" TargetMode="External"/><Relationship Id="rId15" Type="http://schemas.openxmlformats.org/officeDocument/2006/relationships/theme" Target="theme/theme1.xml"/><Relationship Id="rId10" Type="http://schemas.openxmlformats.org/officeDocument/2006/relationships/hyperlink" Target="https://www.garant.ru/products/ipo/prime/doc/74564054/" TargetMode="External"/><Relationship Id="rId4" Type="http://schemas.openxmlformats.org/officeDocument/2006/relationships/webSettings" Target="webSettings.xml"/><Relationship Id="rId9" Type="http://schemas.openxmlformats.org/officeDocument/2006/relationships/hyperlink" Target="https://www.garant.ru/products/ipo/prime/doc/745640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4938</Words>
  <Characters>28148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 сентября 2020 г</dc:title>
  <dc:subject/>
  <dc:creator>home</dc:creator>
  <cp:keywords/>
  <dc:description/>
  <cp:lastModifiedBy>Мурлыка</cp:lastModifiedBy>
  <cp:revision>2</cp:revision>
  <dcterms:created xsi:type="dcterms:W3CDTF">2020-10-05T09:09:00Z</dcterms:created>
  <dcterms:modified xsi:type="dcterms:W3CDTF">2020-10-05T09:09:00Z</dcterms:modified>
</cp:coreProperties>
</file>